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4F371">
      <w:pPr>
        <w:spacing w:line="594" w:lineRule="exact"/>
        <w:jc w:val="right"/>
        <w:rPr>
          <w:rFonts w:hint="default" w:eastAsia="黑体" w:cs="黑体"/>
          <w:w w:val="90"/>
          <w:sz w:val="32"/>
          <w:szCs w:val="32"/>
          <w:lang w:val="en-US" w:eastAsia="zh-CN"/>
        </w:rPr>
      </w:pPr>
      <w:r>
        <w:rPr>
          <w:rFonts w:hint="eastAsia" w:eastAsia="黑体" w:cs="黑体"/>
          <w:w w:val="90"/>
          <w:sz w:val="32"/>
          <w:szCs w:val="32"/>
        </w:rPr>
        <w:t>编号：CNCA-N-</w:t>
      </w:r>
      <w:r>
        <w:rPr>
          <w:rFonts w:hint="eastAsia" w:eastAsia="黑体" w:cs="黑体"/>
          <w:w w:val="90"/>
          <w:sz w:val="32"/>
          <w:szCs w:val="32"/>
          <w:lang w:val="en-US" w:eastAsia="zh-CN"/>
        </w:rPr>
        <w:t>001</w:t>
      </w:r>
      <w:r>
        <w:rPr>
          <w:rFonts w:hint="eastAsia" w:eastAsia="黑体" w:cs="黑体"/>
          <w:w w:val="90"/>
          <w:sz w:val="32"/>
          <w:szCs w:val="32"/>
        </w:rPr>
        <w:t>:20</w:t>
      </w:r>
      <w:r>
        <w:rPr>
          <w:rFonts w:hint="eastAsia" w:eastAsia="黑体" w:cs="黑体"/>
          <w:w w:val="90"/>
          <w:sz w:val="32"/>
          <w:szCs w:val="32"/>
          <w:lang w:val="en-US" w:eastAsia="zh-CN"/>
        </w:rPr>
        <w:t>21</w:t>
      </w:r>
    </w:p>
    <w:p w14:paraId="5CC110D0">
      <w:pPr>
        <w:spacing w:line="594" w:lineRule="exact"/>
        <w:jc w:val="left"/>
        <w:rPr>
          <w:rFonts w:hint="eastAsia" w:eastAsia="黑体" w:cs="黑体"/>
          <w:color w:val="auto"/>
          <w:w w:val="90"/>
          <w:sz w:val="32"/>
          <w:szCs w:val="32"/>
          <w:lang w:val="en-US" w:eastAsia="zh-CN"/>
        </w:rPr>
      </w:pPr>
    </w:p>
    <w:p w14:paraId="52EEACEE">
      <w:pPr>
        <w:spacing w:line="594" w:lineRule="exact"/>
        <w:jc w:val="left"/>
        <w:rPr>
          <w:rFonts w:hint="eastAsia" w:eastAsia="黑体" w:cs="黑体"/>
          <w:color w:val="auto"/>
          <w:w w:val="90"/>
          <w:sz w:val="32"/>
          <w:szCs w:val="32"/>
          <w:lang w:val="en-US" w:eastAsia="zh-CN"/>
        </w:rPr>
      </w:pPr>
    </w:p>
    <w:p w14:paraId="240FE659">
      <w:pPr>
        <w:spacing w:line="594" w:lineRule="exact"/>
        <w:jc w:val="left"/>
        <w:rPr>
          <w:rFonts w:hint="eastAsia" w:eastAsia="黑体" w:cs="黑体"/>
          <w:color w:val="auto"/>
          <w:w w:val="90"/>
          <w:sz w:val="32"/>
          <w:szCs w:val="32"/>
          <w:lang w:val="en-US" w:eastAsia="zh-CN"/>
        </w:rPr>
      </w:pPr>
    </w:p>
    <w:p w14:paraId="2F50C0B2">
      <w:pPr>
        <w:spacing w:line="594" w:lineRule="exact"/>
        <w:jc w:val="left"/>
        <w:rPr>
          <w:rFonts w:hint="eastAsia" w:eastAsia="黑体" w:cs="黑体"/>
          <w:color w:val="auto"/>
          <w:w w:val="90"/>
          <w:sz w:val="32"/>
          <w:szCs w:val="32"/>
          <w:lang w:val="en-US" w:eastAsia="zh-CN"/>
        </w:rPr>
      </w:pPr>
    </w:p>
    <w:p w14:paraId="0959B345">
      <w:pPr>
        <w:spacing w:line="594" w:lineRule="exact"/>
        <w:jc w:val="left"/>
        <w:rPr>
          <w:rFonts w:hint="eastAsia" w:eastAsia="黑体" w:cs="黑体"/>
          <w:color w:val="auto"/>
          <w:w w:val="90"/>
          <w:sz w:val="32"/>
          <w:szCs w:val="32"/>
          <w:lang w:val="en-US" w:eastAsia="zh-CN"/>
        </w:rPr>
      </w:pPr>
    </w:p>
    <w:p w14:paraId="3FE29AE4">
      <w:pPr>
        <w:spacing w:line="594" w:lineRule="exact"/>
        <w:jc w:val="left"/>
        <w:rPr>
          <w:rFonts w:hint="eastAsia" w:eastAsia="黑体" w:cs="黑体"/>
          <w:color w:val="auto"/>
          <w:w w:val="90"/>
          <w:sz w:val="32"/>
          <w:szCs w:val="32"/>
          <w:lang w:val="en-US" w:eastAsia="zh-CN"/>
        </w:rPr>
      </w:pPr>
    </w:p>
    <w:p w14:paraId="4FFD671C">
      <w:pPr>
        <w:tabs>
          <w:tab w:val="left" w:pos="7296"/>
        </w:tabs>
        <w:spacing w:line="594" w:lineRule="exact"/>
        <w:jc w:val="center"/>
        <w:rPr>
          <w:rFonts w:eastAsia="黑体"/>
          <w:w w:val="90"/>
          <w:szCs w:val="21"/>
        </w:rPr>
      </w:pPr>
    </w:p>
    <w:p w14:paraId="2F7C4E26">
      <w:pPr>
        <w:tabs>
          <w:tab w:val="left" w:pos="7296"/>
        </w:tabs>
        <w:spacing w:line="594" w:lineRule="exact"/>
        <w:jc w:val="center"/>
        <w:rPr>
          <w:rFonts w:hint="eastAsia" w:ascii="宋体" w:hAnsi="宋体" w:eastAsia="宋体" w:cs="宋体"/>
          <w:w w:val="90"/>
          <w:sz w:val="44"/>
          <w:szCs w:val="44"/>
        </w:rPr>
      </w:pPr>
      <w:r>
        <w:rPr>
          <w:rFonts w:hint="eastAsia" w:ascii="宋体" w:hAnsi="宋体" w:eastAsia="宋体" w:cs="宋体"/>
          <w:w w:val="90"/>
          <w:sz w:val="44"/>
          <w:szCs w:val="44"/>
        </w:rPr>
        <w:t>危害分析与关键控制点（HACCP）体系认证</w:t>
      </w:r>
    </w:p>
    <w:p w14:paraId="01CE61FD">
      <w:pPr>
        <w:tabs>
          <w:tab w:val="left" w:pos="7296"/>
        </w:tabs>
        <w:spacing w:line="594" w:lineRule="exact"/>
        <w:jc w:val="center"/>
        <w:rPr>
          <w:rFonts w:hint="eastAsia" w:ascii="宋体" w:hAnsi="宋体" w:eastAsia="宋体" w:cs="宋体"/>
          <w:sz w:val="44"/>
          <w:szCs w:val="44"/>
        </w:rPr>
      </w:pPr>
      <w:r>
        <w:rPr>
          <w:rFonts w:hint="eastAsia" w:ascii="宋体" w:hAnsi="宋体" w:eastAsia="宋体" w:cs="宋体"/>
          <w:sz w:val="44"/>
          <w:szCs w:val="44"/>
        </w:rPr>
        <w:t>实施规则</w:t>
      </w:r>
    </w:p>
    <w:p w14:paraId="27E2D80F">
      <w:pPr>
        <w:tabs>
          <w:tab w:val="left" w:pos="7296"/>
        </w:tabs>
        <w:spacing w:line="594" w:lineRule="exact"/>
        <w:jc w:val="center"/>
        <w:rPr>
          <w:bCs/>
          <w:szCs w:val="21"/>
        </w:rPr>
      </w:pPr>
    </w:p>
    <w:p w14:paraId="08CEA9DA">
      <w:pPr>
        <w:tabs>
          <w:tab w:val="left" w:pos="7296"/>
        </w:tabs>
        <w:spacing w:line="594" w:lineRule="exact"/>
        <w:jc w:val="center"/>
        <w:rPr>
          <w:bCs/>
          <w:szCs w:val="21"/>
        </w:rPr>
      </w:pPr>
    </w:p>
    <w:p w14:paraId="79BB875D">
      <w:pPr>
        <w:tabs>
          <w:tab w:val="left" w:pos="7296"/>
        </w:tabs>
        <w:spacing w:line="594" w:lineRule="exact"/>
        <w:jc w:val="center"/>
        <w:rPr>
          <w:bCs/>
          <w:szCs w:val="21"/>
        </w:rPr>
      </w:pPr>
    </w:p>
    <w:p w14:paraId="3881C5B6">
      <w:pPr>
        <w:tabs>
          <w:tab w:val="left" w:pos="7296"/>
        </w:tabs>
        <w:spacing w:line="594" w:lineRule="exact"/>
        <w:jc w:val="center"/>
        <w:rPr>
          <w:bCs/>
          <w:szCs w:val="21"/>
        </w:rPr>
      </w:pPr>
    </w:p>
    <w:p w14:paraId="2FB2D96C">
      <w:pPr>
        <w:tabs>
          <w:tab w:val="left" w:pos="7296"/>
        </w:tabs>
        <w:spacing w:line="594" w:lineRule="exact"/>
        <w:jc w:val="center"/>
        <w:rPr>
          <w:bCs/>
          <w:szCs w:val="21"/>
        </w:rPr>
      </w:pPr>
    </w:p>
    <w:p w14:paraId="70E6AA13">
      <w:pPr>
        <w:tabs>
          <w:tab w:val="left" w:pos="7296"/>
        </w:tabs>
        <w:spacing w:line="594" w:lineRule="exact"/>
        <w:jc w:val="center"/>
        <w:rPr>
          <w:bCs/>
          <w:szCs w:val="21"/>
        </w:rPr>
      </w:pPr>
    </w:p>
    <w:p w14:paraId="683B9B55">
      <w:pPr>
        <w:tabs>
          <w:tab w:val="left" w:pos="7296"/>
        </w:tabs>
        <w:spacing w:line="594" w:lineRule="exact"/>
        <w:rPr>
          <w:bCs/>
          <w:szCs w:val="21"/>
        </w:rPr>
      </w:pPr>
    </w:p>
    <w:p w14:paraId="506F14A7">
      <w:pPr>
        <w:spacing w:line="594" w:lineRule="exact"/>
        <w:outlineLvl w:val="0"/>
        <w:rPr>
          <w:szCs w:val="21"/>
          <w:u w:val="single"/>
        </w:rPr>
      </w:pPr>
    </w:p>
    <w:p w14:paraId="38436A52">
      <w:pPr>
        <w:spacing w:line="594" w:lineRule="exact"/>
        <w:jc w:val="center"/>
        <w:outlineLvl w:val="0"/>
        <w:rPr>
          <w:szCs w:val="21"/>
          <w:u w:val="single"/>
        </w:rPr>
      </w:pPr>
    </w:p>
    <w:p w14:paraId="6381C84D">
      <w:pPr>
        <w:tabs>
          <w:tab w:val="left" w:pos="7296"/>
        </w:tabs>
        <w:spacing w:line="594" w:lineRule="exact"/>
        <w:jc w:val="center"/>
        <w:outlineLvl w:val="0"/>
        <w:rPr>
          <w:rFonts w:hint="eastAsia" w:ascii="黑体" w:hAnsi="黑体" w:eastAsia="黑体" w:cs="黑体"/>
          <w:sz w:val="32"/>
          <w:szCs w:val="32"/>
        </w:rPr>
      </w:pPr>
      <w:r>
        <w:rPr>
          <w:rFonts w:hint="eastAsia" w:ascii="黑体" w:hAnsi="黑体" w:eastAsia="黑体" w:cs="黑体"/>
          <w:sz w:val="32"/>
          <w:szCs w:val="32"/>
        </w:rPr>
        <w:t>中国国家认证认可监督管理委员会发布</w:t>
      </w:r>
    </w:p>
    <w:p w14:paraId="20510BE5">
      <w:pPr>
        <w:tabs>
          <w:tab w:val="left" w:pos="7296"/>
        </w:tabs>
        <w:spacing w:line="594" w:lineRule="exact"/>
        <w:jc w:val="center"/>
        <w:outlineLvl w:val="0"/>
        <w:rPr>
          <w:rFonts w:hint="eastAsia" w:ascii="方正小标宋简体" w:hAnsi="方正小标宋简体" w:eastAsia="方正小标宋简体" w:cs="方正小标宋简体"/>
          <w:sz w:val="44"/>
          <w:szCs w:val="44"/>
        </w:rPr>
      </w:pPr>
    </w:p>
    <w:p w14:paraId="7768D41E">
      <w:pPr>
        <w:tabs>
          <w:tab w:val="left" w:pos="7296"/>
        </w:tabs>
        <w:spacing w:line="594" w:lineRule="exact"/>
        <w:jc w:val="center"/>
        <w:outlineLvl w:val="0"/>
        <w:rPr>
          <w:rFonts w:hint="eastAsia" w:ascii="方正小标宋简体" w:hAnsi="方正小标宋简体" w:eastAsia="方正小标宋简体" w:cs="方正小标宋简体"/>
          <w:sz w:val="44"/>
          <w:szCs w:val="44"/>
        </w:rPr>
      </w:pPr>
    </w:p>
    <w:p w14:paraId="6D1A0A40">
      <w:pPr>
        <w:tabs>
          <w:tab w:val="left" w:pos="7296"/>
        </w:tabs>
        <w:spacing w:line="594"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5CEB0BA0">
      <w:pPr>
        <w:widowControl/>
        <w:spacing w:line="594" w:lineRule="exact"/>
        <w:jc w:val="left"/>
      </w:pPr>
    </w:p>
    <w:p w14:paraId="1013800D">
      <w:pPr>
        <w:spacing w:line="594" w:lineRule="exact"/>
        <w:ind w:firstLine="628" w:firstLineChars="200"/>
        <w:rPr>
          <w:rFonts w:eastAsia="黑体" w:cs="黑体"/>
          <w:sz w:val="32"/>
          <w:szCs w:val="32"/>
        </w:rPr>
      </w:pPr>
      <w:r>
        <w:rPr>
          <w:rFonts w:hint="eastAsia" w:eastAsia="黑体" w:cs="黑体"/>
          <w:sz w:val="32"/>
          <w:szCs w:val="32"/>
        </w:rPr>
        <w:t>1.目的和适用范围</w:t>
      </w:r>
    </w:p>
    <w:p w14:paraId="5B26A64F">
      <w:pPr>
        <w:spacing w:line="594" w:lineRule="exact"/>
        <w:ind w:firstLine="628" w:firstLineChars="200"/>
        <w:rPr>
          <w:rFonts w:eastAsia="黑体" w:cs="黑体"/>
          <w:sz w:val="32"/>
          <w:szCs w:val="32"/>
        </w:rPr>
      </w:pPr>
      <w:r>
        <w:rPr>
          <w:rFonts w:hint="eastAsia" w:eastAsia="黑体" w:cs="黑体"/>
          <w:sz w:val="32"/>
          <w:szCs w:val="32"/>
        </w:rPr>
        <w:t>2.认证依据</w:t>
      </w:r>
    </w:p>
    <w:p w14:paraId="75874C2F">
      <w:pPr>
        <w:spacing w:line="594" w:lineRule="exact"/>
        <w:ind w:firstLine="628" w:firstLineChars="200"/>
        <w:rPr>
          <w:rFonts w:eastAsia="黑体" w:cs="黑体"/>
          <w:sz w:val="32"/>
          <w:szCs w:val="32"/>
        </w:rPr>
      </w:pPr>
      <w:r>
        <w:rPr>
          <w:rFonts w:hint="eastAsia" w:eastAsia="黑体" w:cs="黑体"/>
          <w:sz w:val="32"/>
          <w:szCs w:val="32"/>
        </w:rPr>
        <w:t>3.认证程序</w:t>
      </w:r>
    </w:p>
    <w:p w14:paraId="5930695A">
      <w:pPr>
        <w:spacing w:line="594" w:lineRule="exact"/>
        <w:ind w:firstLine="628" w:firstLineChars="200"/>
        <w:rPr>
          <w:rFonts w:eastAsia="黑体" w:cs="黑体"/>
          <w:sz w:val="32"/>
          <w:szCs w:val="32"/>
        </w:rPr>
      </w:pPr>
      <w:r>
        <w:rPr>
          <w:rFonts w:hint="eastAsia" w:eastAsia="黑体" w:cs="黑体"/>
          <w:sz w:val="32"/>
          <w:szCs w:val="32"/>
        </w:rPr>
        <w:t>4.认证证书</w:t>
      </w:r>
    </w:p>
    <w:p w14:paraId="018E136D">
      <w:pPr>
        <w:spacing w:line="594" w:lineRule="exact"/>
        <w:ind w:firstLine="628" w:firstLineChars="200"/>
        <w:rPr>
          <w:rFonts w:eastAsia="黑体" w:cs="黑体"/>
          <w:sz w:val="32"/>
          <w:szCs w:val="32"/>
        </w:rPr>
      </w:pPr>
      <w:r>
        <w:rPr>
          <w:rFonts w:hint="eastAsia" w:eastAsia="黑体" w:cs="黑体"/>
          <w:sz w:val="32"/>
          <w:szCs w:val="32"/>
        </w:rPr>
        <w:t>5.HACCP认证标志</w:t>
      </w:r>
    </w:p>
    <w:p w14:paraId="3D67958B">
      <w:pPr>
        <w:spacing w:line="594" w:lineRule="exact"/>
        <w:ind w:firstLine="628" w:firstLineChars="200"/>
        <w:rPr>
          <w:rFonts w:eastAsia="黑体" w:cs="黑体"/>
          <w:sz w:val="32"/>
          <w:szCs w:val="32"/>
        </w:rPr>
      </w:pPr>
      <w:r>
        <w:rPr>
          <w:rFonts w:hint="eastAsia" w:eastAsia="黑体" w:cs="黑体"/>
          <w:sz w:val="32"/>
          <w:szCs w:val="32"/>
        </w:rPr>
        <w:t>6.信息报告</w:t>
      </w:r>
    </w:p>
    <w:p w14:paraId="5B025199">
      <w:pPr>
        <w:pStyle w:val="19"/>
        <w:tabs>
          <w:tab w:val="left" w:pos="0"/>
        </w:tabs>
        <w:adjustRightInd w:val="0"/>
        <w:snapToGrid w:val="0"/>
        <w:spacing w:line="594" w:lineRule="exact"/>
        <w:ind w:left="204" w:leftChars="100" w:firstLine="628" w:firstLineChars="200"/>
        <w:rPr>
          <w:rFonts w:ascii="Times New Roman" w:hAnsi="Times New Roman" w:eastAsia="黑体" w:cs="黑体"/>
          <w:sz w:val="32"/>
          <w:szCs w:val="32"/>
        </w:rPr>
      </w:pPr>
    </w:p>
    <w:p w14:paraId="745FB7F1">
      <w:pPr>
        <w:pStyle w:val="19"/>
        <w:tabs>
          <w:tab w:val="left" w:pos="0"/>
        </w:tabs>
        <w:adjustRightInd w:val="0"/>
        <w:snapToGrid w:val="0"/>
        <w:spacing w:line="594" w:lineRule="exact"/>
        <w:ind w:firstLine="628" w:firstLineChars="200"/>
        <w:rPr>
          <w:rFonts w:ascii="Times New Roman" w:hAnsi="Times New Roman" w:eastAsia="黑体" w:cs="黑体"/>
          <w:sz w:val="32"/>
          <w:szCs w:val="32"/>
        </w:rPr>
      </w:pPr>
      <w:r>
        <w:rPr>
          <w:rFonts w:hint="eastAsia" w:ascii="Times New Roman" w:hAnsi="Times New Roman" w:eastAsia="黑体" w:cs="黑体"/>
          <w:sz w:val="32"/>
          <w:szCs w:val="32"/>
        </w:rPr>
        <w:t>附件 1.适用于HACCP认证的食品链产品/服务分类</w:t>
      </w:r>
    </w:p>
    <w:p w14:paraId="54AEBCCC">
      <w:pPr>
        <w:spacing w:line="594" w:lineRule="exact"/>
        <w:ind w:left="824" w:leftChars="404" w:firstLine="628" w:firstLineChars="200"/>
        <w:jc w:val="left"/>
        <w:rPr>
          <w:rFonts w:eastAsia="黑体" w:cs="黑体"/>
          <w:sz w:val="32"/>
          <w:szCs w:val="32"/>
        </w:rPr>
      </w:pPr>
      <w:r>
        <w:rPr>
          <w:rFonts w:hint="eastAsia" w:eastAsia="黑体" w:cs="黑体"/>
          <w:sz w:val="32"/>
          <w:szCs w:val="32"/>
        </w:rPr>
        <w:t>2.危害分析与关键控制点(HACCP)体系认证要求（V1.0）</w:t>
      </w:r>
    </w:p>
    <w:p w14:paraId="5E063C82">
      <w:pPr>
        <w:adjustRightInd w:val="0"/>
        <w:snapToGrid w:val="0"/>
        <w:spacing w:line="594" w:lineRule="exact"/>
        <w:ind w:firstLine="628" w:firstLineChars="200"/>
        <w:rPr>
          <w:rFonts w:eastAsia="黑体" w:cs="黑体"/>
          <w:sz w:val="32"/>
          <w:szCs w:val="32"/>
        </w:rPr>
      </w:pPr>
      <w:r>
        <w:rPr>
          <w:rFonts w:hint="eastAsia" w:eastAsia="黑体" w:cs="黑体"/>
          <w:sz w:val="32"/>
          <w:szCs w:val="32"/>
        </w:rPr>
        <w:t xml:space="preserve">     3. HACCP认证最少审核时间</w:t>
      </w:r>
      <w:r>
        <w:rPr>
          <w:rFonts w:hint="eastAsia" w:eastAsia="黑体" w:cs="黑体"/>
          <w:sz w:val="32"/>
          <w:szCs w:val="32"/>
        </w:rPr>
        <w:br w:type="page"/>
      </w:r>
      <w:bookmarkStart w:id="0" w:name="_Toc124840963"/>
      <w:r>
        <w:rPr>
          <w:rFonts w:hint="eastAsia" w:eastAsia="黑体" w:cs="黑体"/>
          <w:bCs/>
          <w:sz w:val="32"/>
          <w:szCs w:val="32"/>
        </w:rPr>
        <w:t xml:space="preserve">    </w:t>
      </w:r>
      <w:r>
        <w:rPr>
          <w:rFonts w:hint="eastAsia" w:eastAsia="黑体" w:cs="黑体"/>
          <w:sz w:val="32"/>
          <w:szCs w:val="32"/>
        </w:rPr>
        <w:t>1．目的和适用范围</w:t>
      </w:r>
      <w:bookmarkEnd w:id="0"/>
    </w:p>
    <w:p w14:paraId="45F0DD23">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1.1为规范食品及食品相关行业</w:t>
      </w:r>
      <w:r>
        <w:rPr>
          <w:rFonts w:hint="eastAsia" w:eastAsia="仿宋_GB2312" w:cs="仿宋_GB2312"/>
          <w:color w:val="000000"/>
          <w:sz w:val="32"/>
          <w:szCs w:val="32"/>
        </w:rPr>
        <w:t>危害分</w:t>
      </w:r>
      <w:r>
        <w:rPr>
          <w:rFonts w:hint="eastAsia" w:eastAsia="仿宋_GB2312" w:cs="仿宋_GB2312"/>
          <w:sz w:val="32"/>
          <w:szCs w:val="32"/>
        </w:rPr>
        <w:t>析与关键控制点（HACCP）体系认证以下简称HACCP认证活动，根据《</w:t>
      </w:r>
      <w:r>
        <w:rPr>
          <w:rFonts w:hint="eastAsia" w:eastAsia="仿宋_GB2312" w:cs="仿宋_GB2312"/>
          <w:bCs/>
          <w:sz w:val="32"/>
          <w:szCs w:val="32"/>
        </w:rPr>
        <w:t>中华人民共和国</w:t>
      </w:r>
      <w:r>
        <w:rPr>
          <w:rFonts w:hint="eastAsia" w:eastAsia="仿宋_GB2312" w:cs="仿宋_GB2312"/>
          <w:sz w:val="32"/>
          <w:szCs w:val="32"/>
        </w:rPr>
        <w:t>食品安全法》、</w:t>
      </w:r>
      <w:r>
        <w:rPr>
          <w:rFonts w:hint="eastAsia" w:eastAsia="仿宋_GB2312" w:cs="仿宋_GB2312"/>
          <w:bCs/>
          <w:sz w:val="32"/>
          <w:szCs w:val="32"/>
        </w:rPr>
        <w:t>《中华人民共和国认证认可条例》等有关规定，制定本规则。</w:t>
      </w:r>
    </w:p>
    <w:p w14:paraId="6803E107">
      <w:pPr>
        <w:adjustRightInd w:val="0"/>
        <w:snapToGrid w:val="0"/>
        <w:spacing w:line="594" w:lineRule="exact"/>
        <w:ind w:firstLine="628" w:firstLineChars="200"/>
        <w:rPr>
          <w:rFonts w:eastAsia="仿宋_GB2312" w:cs="仿宋_GB2312"/>
          <w:bCs/>
          <w:sz w:val="32"/>
          <w:szCs w:val="32"/>
        </w:rPr>
      </w:pPr>
      <w:r>
        <w:rPr>
          <w:rFonts w:hint="eastAsia" w:eastAsia="仿宋_GB2312" w:cs="仿宋_GB2312"/>
          <w:sz w:val="32"/>
          <w:szCs w:val="32"/>
        </w:rPr>
        <w:t>1.2 本规则规定了开展HACCP认证的认证机构（以下简称认证机构）实施HACCP认证活动的基本要求</w:t>
      </w:r>
      <w:r>
        <w:rPr>
          <w:rFonts w:hint="eastAsia" w:eastAsia="仿宋_GB2312" w:cs="仿宋_GB2312"/>
          <w:bCs/>
          <w:sz w:val="32"/>
          <w:szCs w:val="32"/>
        </w:rPr>
        <w:t>。</w:t>
      </w:r>
    </w:p>
    <w:p w14:paraId="3CA43E98">
      <w:pPr>
        <w:adjustRightInd w:val="0"/>
        <w:snapToGrid w:val="0"/>
        <w:spacing w:line="594" w:lineRule="exact"/>
        <w:ind w:firstLine="628" w:firstLineChars="200"/>
        <w:rPr>
          <w:rFonts w:eastAsia="仿宋_GB2312" w:cs="仿宋_GB2312"/>
          <w:bCs/>
          <w:sz w:val="32"/>
          <w:szCs w:val="32"/>
        </w:rPr>
      </w:pPr>
      <w:r>
        <w:rPr>
          <w:rFonts w:hint="eastAsia" w:eastAsia="仿宋_GB2312" w:cs="仿宋_GB2312"/>
          <w:bCs/>
          <w:sz w:val="32"/>
          <w:szCs w:val="32"/>
        </w:rPr>
        <w:t xml:space="preserve">1.3 </w:t>
      </w:r>
      <w:r>
        <w:rPr>
          <w:rFonts w:hint="eastAsia" w:eastAsia="仿宋_GB2312" w:cs="仿宋_GB2312"/>
          <w:sz w:val="32"/>
          <w:szCs w:val="32"/>
        </w:rPr>
        <w:t>本规则附件1列明了适用于HACCP认证的食品链产品/服务分类</w:t>
      </w:r>
      <w:r>
        <w:rPr>
          <w:rFonts w:hint="eastAsia" w:eastAsia="仿宋_GB2312" w:cs="仿宋_GB2312"/>
          <w:bCs/>
          <w:sz w:val="32"/>
          <w:szCs w:val="32"/>
        </w:rPr>
        <w:t>。</w:t>
      </w:r>
    </w:p>
    <w:p w14:paraId="12111A0F">
      <w:pPr>
        <w:adjustRightInd w:val="0"/>
        <w:snapToGrid w:val="0"/>
        <w:spacing w:line="594" w:lineRule="exact"/>
        <w:ind w:firstLine="628" w:firstLineChars="200"/>
        <w:rPr>
          <w:rFonts w:eastAsia="黑体" w:cs="黑体"/>
          <w:sz w:val="32"/>
          <w:szCs w:val="32"/>
        </w:rPr>
      </w:pPr>
      <w:r>
        <w:rPr>
          <w:rFonts w:hint="eastAsia" w:eastAsia="黑体" w:cs="黑体"/>
          <w:bCs/>
          <w:sz w:val="32"/>
          <w:szCs w:val="32"/>
        </w:rPr>
        <w:t xml:space="preserve">2. </w:t>
      </w:r>
      <w:r>
        <w:rPr>
          <w:rFonts w:hint="eastAsia" w:eastAsia="黑体" w:cs="黑体"/>
          <w:sz w:val="32"/>
          <w:szCs w:val="32"/>
        </w:rPr>
        <w:t>认证依据</w:t>
      </w:r>
    </w:p>
    <w:p w14:paraId="0C713B3A">
      <w:pPr>
        <w:spacing w:line="594" w:lineRule="exact"/>
        <w:ind w:firstLine="628" w:firstLineChars="200"/>
        <w:jc w:val="left"/>
        <w:rPr>
          <w:rFonts w:eastAsia="仿宋_GB2312" w:cs="仿宋_GB2312"/>
          <w:sz w:val="32"/>
          <w:szCs w:val="32"/>
        </w:rPr>
      </w:pPr>
      <w:r>
        <w:rPr>
          <w:rFonts w:hint="eastAsia" w:eastAsia="仿宋_GB2312" w:cs="仿宋_GB2312"/>
          <w:sz w:val="32"/>
          <w:szCs w:val="32"/>
        </w:rPr>
        <w:t>危害分析与关键控制点（HACCP）</w:t>
      </w:r>
      <w:r>
        <w:rPr>
          <w:rFonts w:hint="eastAsia" w:eastAsia="仿宋_GB2312" w:cs="仿宋_GB2312"/>
          <w:sz w:val="32"/>
          <w:szCs w:val="32"/>
          <w:lang w:val="en-US" w:eastAsia="zh-CN"/>
        </w:rPr>
        <w:t>体系</w:t>
      </w:r>
      <w:r>
        <w:rPr>
          <w:rFonts w:hint="eastAsia" w:eastAsia="仿宋_GB2312" w:cs="仿宋_GB2312"/>
          <w:sz w:val="32"/>
          <w:szCs w:val="32"/>
        </w:rPr>
        <w:t>认证要求（V1.0）（附件2）</w:t>
      </w:r>
    </w:p>
    <w:p w14:paraId="71853D9F">
      <w:pPr>
        <w:spacing w:line="594" w:lineRule="exact"/>
        <w:ind w:firstLine="628" w:firstLineChars="200"/>
        <w:jc w:val="left"/>
        <w:rPr>
          <w:rFonts w:eastAsia="仿宋_GB2312" w:cs="仿宋_GB2312"/>
          <w:sz w:val="32"/>
          <w:szCs w:val="32"/>
        </w:rPr>
      </w:pPr>
      <w:r>
        <w:rPr>
          <w:rFonts w:hint="eastAsia" w:eastAsia="仿宋_GB2312" w:cs="仿宋_GB2312"/>
          <w:sz w:val="32"/>
          <w:szCs w:val="32"/>
        </w:rPr>
        <w:t>注：适用时，为满足进口国（地区）的需求，认证机构可将国际食品法典委员会（</w:t>
      </w:r>
      <w:r>
        <w:rPr>
          <w:rFonts w:eastAsia="仿宋_GB2312" w:cs="仿宋_GB2312"/>
          <w:sz w:val="32"/>
          <w:szCs w:val="32"/>
        </w:rPr>
        <w:t>Codex Alimentarius Commission</w:t>
      </w:r>
      <w:r>
        <w:rPr>
          <w:rFonts w:hint="eastAsia" w:eastAsia="仿宋_GB2312" w:cs="仿宋_GB2312"/>
          <w:sz w:val="32"/>
          <w:szCs w:val="32"/>
        </w:rPr>
        <w:t>，CAC）制定的《食品卫生通则》作为补充的认证依据。</w:t>
      </w:r>
    </w:p>
    <w:p w14:paraId="3C241794">
      <w:pPr>
        <w:adjustRightInd w:val="0"/>
        <w:snapToGrid w:val="0"/>
        <w:spacing w:line="594" w:lineRule="exact"/>
        <w:ind w:firstLine="628" w:firstLineChars="200"/>
        <w:rPr>
          <w:rFonts w:eastAsia="黑体" w:cs="黑体"/>
          <w:sz w:val="32"/>
          <w:szCs w:val="32"/>
        </w:rPr>
      </w:pPr>
      <w:r>
        <w:rPr>
          <w:rFonts w:hint="eastAsia" w:eastAsia="黑体" w:cs="黑体"/>
          <w:sz w:val="32"/>
          <w:szCs w:val="32"/>
        </w:rPr>
        <w:t>3. 认证程序</w:t>
      </w:r>
    </w:p>
    <w:p w14:paraId="7EE2E102">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3.1 认证申请</w:t>
      </w:r>
    </w:p>
    <w:p w14:paraId="5AE8CA5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3.1.1 认证机构应要求认证委托人具备以下条件：</w:t>
      </w:r>
    </w:p>
    <w:p w14:paraId="6B87ABE0">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1</w:t>
      </w:r>
      <w:r>
        <w:rPr>
          <w:rFonts w:hint="eastAsia" w:eastAsia="仿宋_GB2312" w:cs="仿宋_GB2312"/>
          <w:sz w:val="32"/>
          <w:szCs w:val="32"/>
        </w:rPr>
        <w:t>）取得国家市场监督管理部门或有关机构注册登记的法人资格（或其组成部分）；</w:t>
      </w:r>
    </w:p>
    <w:p w14:paraId="1F64C3B3">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2</w:t>
      </w:r>
      <w:r>
        <w:rPr>
          <w:rFonts w:hint="eastAsia" w:eastAsia="仿宋_GB2312" w:cs="仿宋_GB2312"/>
          <w:sz w:val="32"/>
          <w:szCs w:val="32"/>
        </w:rPr>
        <w:t>）取得相关法规规定的行政许可文件（适用时）；</w:t>
      </w:r>
    </w:p>
    <w:p w14:paraId="5F818C59">
      <w:pPr>
        <w:tabs>
          <w:tab w:val="left" w:pos="0"/>
        </w:tabs>
        <w:adjustRightInd w:val="0"/>
        <w:snapToGrid w:val="0"/>
        <w:spacing w:line="594" w:lineRule="exact"/>
        <w:ind w:firstLine="628" w:firstLineChars="200"/>
        <w:rPr>
          <w:rFonts w:eastAsia="仿宋_GB2312" w:cs="仿宋_GB2312"/>
          <w:color w:val="000000"/>
          <w:sz w:val="32"/>
          <w:szCs w:val="32"/>
        </w:rPr>
      </w:pPr>
      <w:r>
        <w:rPr>
          <w:rFonts w:hint="eastAsia" w:eastAsia="仿宋_GB2312" w:cs="仿宋_GB2312"/>
          <w:color w:val="000000"/>
          <w:sz w:val="32"/>
          <w:szCs w:val="32"/>
        </w:rPr>
        <w:t>（</w:t>
      </w:r>
      <w:r>
        <w:rPr>
          <w:rFonts w:hint="eastAsia" w:eastAsia="仿宋_GB2312"/>
          <w:color w:val="000000"/>
          <w:sz w:val="32"/>
          <w:szCs w:val="32"/>
        </w:rPr>
        <w:t>3</w:t>
      </w:r>
      <w:r>
        <w:rPr>
          <w:rFonts w:hint="eastAsia" w:eastAsia="仿宋_GB2312" w:cs="仿宋_GB2312"/>
          <w:color w:val="000000"/>
          <w:sz w:val="32"/>
          <w:szCs w:val="32"/>
        </w:rPr>
        <w:t>）未列入国家信用信息严重失信主体相关名录；</w:t>
      </w:r>
    </w:p>
    <w:p w14:paraId="76C0B468">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4</w:t>
      </w:r>
      <w:r>
        <w:rPr>
          <w:rFonts w:hint="eastAsia" w:eastAsia="仿宋_GB2312" w:cs="仿宋_GB2312"/>
          <w:sz w:val="32"/>
          <w:szCs w:val="32"/>
        </w:rPr>
        <w:t>）生产经营的产品符合适用的我国和进口国（地区）相关法律、法规、标准和规范的要求；</w:t>
      </w:r>
    </w:p>
    <w:p w14:paraId="027A27C8">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5</w:t>
      </w:r>
      <w:r>
        <w:rPr>
          <w:rFonts w:hint="eastAsia" w:eastAsia="仿宋_GB2312" w:cs="仿宋_GB2312"/>
          <w:sz w:val="32"/>
          <w:szCs w:val="32"/>
        </w:rPr>
        <w:t>）按照本规则规定的认证依据，建立和实施了HACCP体系，且体系有效运行3个月以上；</w:t>
      </w:r>
    </w:p>
    <w:p w14:paraId="37A1834D">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6</w:t>
      </w:r>
      <w:r>
        <w:rPr>
          <w:rFonts w:hint="eastAsia" w:eastAsia="仿宋_GB2312" w:cs="仿宋_GB2312"/>
          <w:sz w:val="32"/>
          <w:szCs w:val="32"/>
        </w:rPr>
        <w:t>）一年内未发生违反我国和进口国（地区）相关法律、法规的食品安全事故；</w:t>
      </w:r>
    </w:p>
    <w:p w14:paraId="031361DF">
      <w:pPr>
        <w:tabs>
          <w:tab w:val="left" w:pos="0"/>
          <w:tab w:val="left" w:pos="840"/>
        </w:tabs>
        <w:adjustRightInd w:val="0"/>
        <w:snapToGrid w:val="0"/>
        <w:spacing w:line="594" w:lineRule="exact"/>
        <w:ind w:firstLine="628" w:firstLineChars="200"/>
        <w:rPr>
          <w:rFonts w:eastAsia="仿宋_GB2312" w:cs="仿宋_GB2312"/>
          <w:color w:val="000000"/>
          <w:sz w:val="32"/>
          <w:szCs w:val="32"/>
        </w:rPr>
      </w:pPr>
      <w:r>
        <w:rPr>
          <w:rFonts w:hint="eastAsia" w:eastAsia="仿宋_GB2312" w:cs="仿宋_GB2312"/>
          <w:sz w:val="32"/>
          <w:szCs w:val="32"/>
        </w:rPr>
        <w:t>（</w:t>
      </w:r>
      <w:r>
        <w:rPr>
          <w:rFonts w:hint="eastAsia" w:eastAsia="仿宋_GB2312"/>
          <w:sz w:val="32"/>
          <w:szCs w:val="32"/>
        </w:rPr>
        <w:t>7</w:t>
      </w:r>
      <w:r>
        <w:rPr>
          <w:rFonts w:hint="eastAsia" w:eastAsia="仿宋_GB2312" w:cs="仿宋_GB2312"/>
          <w:sz w:val="32"/>
          <w:szCs w:val="32"/>
        </w:rPr>
        <w:t>）三年内未因违反本规则4.2.2（4）或（5）条款而被认证机构撤销HACCP认证证书。</w:t>
      </w:r>
    </w:p>
    <w:p w14:paraId="26DFCF41">
      <w:pPr>
        <w:numPr>
          <w:ilvl w:val="2"/>
          <w:numId w:val="0"/>
        </w:numPr>
        <w:adjustRightInd w:val="0"/>
        <w:snapToGrid w:val="0"/>
        <w:spacing w:line="594" w:lineRule="exact"/>
        <w:rPr>
          <w:rFonts w:eastAsia="仿宋_GB2312" w:cs="仿宋_GB2312"/>
          <w:sz w:val="32"/>
          <w:szCs w:val="32"/>
        </w:rPr>
      </w:pPr>
      <w:r>
        <w:rPr>
          <w:rFonts w:hint="eastAsia" w:eastAsia="仿宋_GB2312" w:cs="仿宋_GB2312"/>
          <w:sz w:val="32"/>
          <w:szCs w:val="32"/>
        </w:rPr>
        <w:t xml:space="preserve">     3.1.2 认证机构应要求认证委托人提交的文件和资料:</w:t>
      </w:r>
    </w:p>
    <w:p w14:paraId="2DEA043B">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1</w:t>
      </w:r>
      <w:r>
        <w:rPr>
          <w:rFonts w:hint="eastAsia" w:eastAsia="仿宋_GB2312" w:cs="仿宋_GB2312"/>
          <w:sz w:val="32"/>
          <w:szCs w:val="32"/>
        </w:rPr>
        <w:t>）认证申请；</w:t>
      </w:r>
    </w:p>
    <w:p w14:paraId="3B9F8193">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2</w:t>
      </w:r>
      <w:r>
        <w:rPr>
          <w:rFonts w:hint="eastAsia" w:eastAsia="仿宋_GB2312" w:cs="仿宋_GB2312"/>
          <w:sz w:val="32"/>
          <w:szCs w:val="32"/>
        </w:rPr>
        <w:t>）法律地位证明文件复印件；</w:t>
      </w:r>
    </w:p>
    <w:p w14:paraId="1CCDC14A">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3</w:t>
      </w:r>
      <w:r>
        <w:rPr>
          <w:rFonts w:hint="eastAsia" w:eastAsia="仿宋_GB2312" w:cs="仿宋_GB2312"/>
          <w:sz w:val="32"/>
          <w:szCs w:val="32"/>
        </w:rPr>
        <w:t>）有关法规规定的行政许可文件和备案证明复印件（适用时）；</w:t>
      </w:r>
    </w:p>
    <w:p w14:paraId="478F2FD0">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4</w:t>
      </w:r>
      <w:r>
        <w:rPr>
          <w:rFonts w:hint="eastAsia" w:eastAsia="仿宋_GB2312" w:cs="仿宋_GB2312"/>
          <w:sz w:val="32"/>
          <w:szCs w:val="32"/>
        </w:rPr>
        <w:t>）HACCP体系文件（包括HACCP手册、产品描述、工艺流程图、工艺描述；危害分析、相应的危害控制措施及其确认和验证要求等）；</w:t>
      </w:r>
    </w:p>
    <w:p w14:paraId="107EAFA1">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5</w:t>
      </w:r>
      <w:r>
        <w:rPr>
          <w:rFonts w:hint="eastAsia" w:eastAsia="仿宋_GB2312" w:cs="仿宋_GB2312"/>
          <w:sz w:val="32"/>
          <w:szCs w:val="32"/>
        </w:rPr>
        <w:t>）组织机构与职责说明；</w:t>
      </w:r>
    </w:p>
    <w:p w14:paraId="765920BC">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6</w:t>
      </w:r>
      <w:r>
        <w:rPr>
          <w:rFonts w:hint="eastAsia" w:eastAsia="仿宋_GB2312" w:cs="仿宋_GB2312"/>
          <w:sz w:val="32"/>
          <w:szCs w:val="32"/>
        </w:rPr>
        <w:t>）厂区位置图、平面图；加工车间平面图；加工生产线、季节性生产和班次的说明；</w:t>
      </w:r>
    </w:p>
    <w:p w14:paraId="124A2C03">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7</w:t>
      </w:r>
      <w:r>
        <w:rPr>
          <w:rFonts w:hint="eastAsia" w:eastAsia="仿宋_GB2312" w:cs="仿宋_GB2312"/>
          <w:sz w:val="32"/>
          <w:szCs w:val="32"/>
        </w:rPr>
        <w:t>）食品添加剂使用情况说明，包括使用的添加剂名称、用量、适用产品及限量标准等（适用时）；</w:t>
      </w:r>
    </w:p>
    <w:p w14:paraId="724A091E">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eastAsia="仿宋_GB2312"/>
          <w:sz w:val="32"/>
          <w:szCs w:val="32"/>
        </w:rPr>
        <w:t>8</w:t>
      </w:r>
      <w:r>
        <w:rPr>
          <w:rFonts w:hint="eastAsia" w:eastAsia="仿宋_GB2312" w:cs="仿宋_GB2312"/>
          <w:sz w:val="32"/>
          <w:szCs w:val="32"/>
        </w:rPr>
        <w:t>）多场所清单及委托加工情况说明（适用时）；</w:t>
      </w:r>
    </w:p>
    <w:p w14:paraId="0AC388DE">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eastAsia="仿宋_GB2312" w:cs="仿宋_GB2312"/>
          <w:sz w:val="32"/>
          <w:szCs w:val="32"/>
        </w:rPr>
        <w:t>9</w:t>
      </w:r>
      <w:r>
        <w:rPr>
          <w:rFonts w:hint="eastAsia" w:eastAsia="仿宋_GB2312" w:cs="仿宋_GB2312"/>
          <w:sz w:val="32"/>
          <w:szCs w:val="32"/>
        </w:rPr>
        <w:t xml:space="preserve">）产品符合安全要求的相关证据； </w:t>
      </w:r>
    </w:p>
    <w:p w14:paraId="12400595">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eastAsia="仿宋_GB2312"/>
          <w:sz w:val="32"/>
          <w:szCs w:val="32"/>
        </w:rPr>
        <w:t>10</w:t>
      </w:r>
      <w:r>
        <w:rPr>
          <w:rFonts w:hint="eastAsia" w:eastAsia="仿宋_GB2312" w:cs="仿宋_GB2312"/>
          <w:sz w:val="32"/>
          <w:szCs w:val="32"/>
        </w:rPr>
        <w:t>）承诺遵守相关法律、法规、认证机构要求及提供材料真实性的自我声明；</w:t>
      </w:r>
    </w:p>
    <w:p w14:paraId="72779355">
      <w:pPr>
        <w:tabs>
          <w:tab w:val="left" w:pos="1080"/>
          <w:tab w:val="left" w:pos="126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w:t>
      </w:r>
      <w:r>
        <w:rPr>
          <w:rFonts w:hint="eastAsia" w:eastAsia="仿宋_GB2312"/>
          <w:sz w:val="32"/>
          <w:szCs w:val="32"/>
        </w:rPr>
        <w:t>1</w:t>
      </w:r>
      <w:r>
        <w:rPr>
          <w:rFonts w:eastAsia="仿宋_GB2312"/>
          <w:sz w:val="32"/>
          <w:szCs w:val="32"/>
        </w:rPr>
        <w:t>1</w:t>
      </w:r>
      <w:r>
        <w:rPr>
          <w:rFonts w:hint="eastAsia" w:eastAsia="仿宋_GB2312" w:cs="仿宋_GB2312"/>
          <w:sz w:val="32"/>
          <w:szCs w:val="32"/>
        </w:rPr>
        <w:t>）其他需要的文件。</w:t>
      </w:r>
    </w:p>
    <w:p w14:paraId="3048A5BC">
      <w:pPr>
        <w:tabs>
          <w:tab w:val="left" w:pos="2340"/>
        </w:tabs>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3.2 认证受理</w:t>
      </w:r>
    </w:p>
    <w:p w14:paraId="02E39233">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3.2.1 认证机构应向认证委托人至少公开以下信息：</w:t>
      </w:r>
    </w:p>
    <w:p w14:paraId="2F041C2A">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color w:val="222222"/>
          <w:sz w:val="32"/>
          <w:szCs w:val="32"/>
        </w:rPr>
        <w:t>（1）可开展认证业务的范围，以及获得相应认可的情况</w:t>
      </w:r>
      <w:r>
        <w:rPr>
          <w:rFonts w:hint="eastAsia" w:eastAsia="仿宋_GB2312" w:cs="仿宋_GB2312"/>
          <w:sz w:val="32"/>
          <w:szCs w:val="32"/>
        </w:rPr>
        <w:t>；</w:t>
      </w:r>
    </w:p>
    <w:p w14:paraId="1B73013A">
      <w:pPr>
        <w:tabs>
          <w:tab w:val="left" w:pos="1080"/>
        </w:tabs>
        <w:adjustRightInd w:val="0"/>
        <w:snapToGrid w:val="0"/>
        <w:spacing w:line="594" w:lineRule="exact"/>
        <w:ind w:left="204" w:leftChars="100" w:firstLine="628" w:firstLineChars="200"/>
        <w:rPr>
          <w:rFonts w:eastAsia="仿宋_GB2312" w:cs="仿宋_GB2312"/>
          <w:color w:val="222222"/>
          <w:sz w:val="32"/>
          <w:szCs w:val="32"/>
        </w:rPr>
      </w:pPr>
      <w:r>
        <w:rPr>
          <w:rFonts w:hint="eastAsia" w:eastAsia="仿宋_GB2312" w:cs="仿宋_GB2312"/>
          <w:color w:val="222222"/>
          <w:sz w:val="32"/>
          <w:szCs w:val="32"/>
        </w:rPr>
        <w:t>（2）开展认证活动所依据的认证标准及认证流程；</w:t>
      </w:r>
    </w:p>
    <w:p w14:paraId="2FB6AB5F">
      <w:pPr>
        <w:tabs>
          <w:tab w:val="left" w:pos="1080"/>
        </w:tabs>
        <w:adjustRightInd w:val="0"/>
        <w:snapToGrid w:val="0"/>
        <w:spacing w:line="594" w:lineRule="exact"/>
        <w:ind w:left="204" w:leftChars="100" w:firstLine="628" w:firstLineChars="200"/>
        <w:rPr>
          <w:rFonts w:eastAsia="仿宋_GB2312" w:cs="仿宋_GB2312"/>
          <w:color w:val="222222"/>
          <w:sz w:val="32"/>
          <w:szCs w:val="32"/>
        </w:rPr>
      </w:pPr>
      <w:r>
        <w:rPr>
          <w:rFonts w:hint="eastAsia" w:eastAsia="仿宋_GB2312" w:cs="仿宋_GB2312"/>
          <w:color w:val="222222"/>
          <w:sz w:val="32"/>
          <w:szCs w:val="32"/>
        </w:rPr>
        <w:t>（3）相关的认证方案、认证程序；</w:t>
      </w:r>
    </w:p>
    <w:p w14:paraId="1D4A4B4D">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color w:val="222222"/>
          <w:sz w:val="32"/>
          <w:szCs w:val="32"/>
        </w:rPr>
        <w:t>（4）批准、保持、变更、暂停、恢复和撤销认证证书的规定与程序；</w:t>
      </w:r>
    </w:p>
    <w:p w14:paraId="431E7FBB">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（5）拟向组织获取的信息，以及对相关信息的保密规定；</w:t>
      </w:r>
    </w:p>
    <w:p w14:paraId="48BF7D69">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（6）认证证书、认证标志及相关的使用规定；</w:t>
      </w:r>
    </w:p>
    <w:p w14:paraId="353040B5">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（7）对认证过程的申诉、投诉规定；</w:t>
      </w:r>
    </w:p>
    <w:p w14:paraId="5D1544EF">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（8）认证要求变更的规定。</w:t>
      </w:r>
    </w:p>
    <w:p w14:paraId="16BF1DDA">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3.2.2 申请评审</w:t>
      </w:r>
    </w:p>
    <w:p w14:paraId="7D2399A1">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认证机构应在认证委托人提交材料齐全后，对其提交的申请文件和资料进行评审并保存评审记录，以确保：</w:t>
      </w:r>
    </w:p>
    <w:p w14:paraId="2388C809">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（1）认证要求规定明确、形成文件，并得到理解；</w:t>
      </w:r>
    </w:p>
    <w:p w14:paraId="0EBC59CB">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（2）认证机构和认证委托人之间在理解上的差异得到解决；</w:t>
      </w:r>
    </w:p>
    <w:p w14:paraId="173B94CA">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（3）对于申请的认证范围、认证委托人的工作场所和任何特殊要求，认证机构均有能力开展认证服务。</w:t>
      </w:r>
    </w:p>
    <w:p w14:paraId="38A4F9E5">
      <w:pPr>
        <w:tabs>
          <w:tab w:val="left" w:pos="1080"/>
        </w:tabs>
        <w:adjustRightInd w:val="0"/>
        <w:snapToGrid w:val="0"/>
        <w:spacing w:line="594" w:lineRule="exact"/>
        <w:ind w:left="204" w:leftChars="100" w:firstLine="628" w:firstLineChars="200"/>
        <w:rPr>
          <w:rFonts w:eastAsia="仿宋_GB2312" w:cs="仿宋_GB2312"/>
          <w:sz w:val="32"/>
          <w:szCs w:val="32"/>
        </w:rPr>
      </w:pPr>
      <w:r>
        <w:rPr>
          <w:rFonts w:hint="eastAsia" w:eastAsia="仿宋_GB2312" w:cs="仿宋_GB2312"/>
          <w:sz w:val="32"/>
          <w:szCs w:val="32"/>
        </w:rPr>
        <w:t>（4）认证机构应依据附件1确定组织申请认证的相关范围。</w:t>
      </w:r>
      <w:r>
        <w:rPr>
          <w:rFonts w:hint="eastAsia" w:ascii="Times New Roman" w:hAnsi="Times New Roman" w:eastAsia="仿宋_GB2312" w:cs="仿宋_GB2312"/>
          <w:kern w:val="2"/>
          <w:sz w:val="32"/>
          <w:szCs w:val="32"/>
        </w:rPr>
        <w:t>认证机构不应将能够影响认证范围内终产品食品安全的活动、过程、产品或服务排除在认证范围之外。</w:t>
      </w:r>
    </w:p>
    <w:p w14:paraId="64DD5E0F">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3.2.3 评审结果处理</w:t>
      </w:r>
    </w:p>
    <w:p w14:paraId="67B80F4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申请材料齐全、符合要求的，予以受理认证申请；</w:t>
      </w:r>
    </w:p>
    <w:p w14:paraId="0C8641CA">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未通过申请评审的，应通知认证委托人在规定时间内补充、完善，不同意受理认证申请应明示理由。</w:t>
      </w:r>
    </w:p>
    <w:p w14:paraId="1F5A7A53">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3.3 签订认证合同</w:t>
      </w:r>
    </w:p>
    <w:p w14:paraId="559E6BF3">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认证机构应与认证委托人签订具有法律效力的书面认证合同或等效文件。明确体系覆盖的范围以及认证机构和认证委托人各自应当承担的责任、权利和义务。</w:t>
      </w:r>
    </w:p>
    <w:p w14:paraId="084206D2">
      <w:pPr>
        <w:adjustRightInd w:val="0"/>
        <w:snapToGrid w:val="0"/>
        <w:spacing w:line="594" w:lineRule="exact"/>
        <w:ind w:firstLine="628" w:firstLineChars="200"/>
        <w:rPr>
          <w:rFonts w:eastAsia="楷体_GB2312" w:cs="楷体_GB2312"/>
          <w:sz w:val="32"/>
          <w:szCs w:val="32"/>
          <w:highlight w:val="yellow"/>
        </w:rPr>
      </w:pPr>
      <w:r>
        <w:rPr>
          <w:rFonts w:hint="eastAsia" w:eastAsia="楷体_GB2312" w:cs="楷体_GB2312"/>
          <w:sz w:val="32"/>
          <w:szCs w:val="32"/>
        </w:rPr>
        <w:t xml:space="preserve">3.4 审核策划 </w:t>
      </w:r>
    </w:p>
    <w:p w14:paraId="60D14C5D">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3.4.1认证机构应对整个认证周期制定审核方案，以清晰地识别用以证实认证委托人的HACCP体系符合认证依据或其他规范性文件的要求所需的审核活动。审核方案应覆盖全部的HACCP体系要求。</w:t>
      </w:r>
    </w:p>
    <w:p w14:paraId="3AF785DA">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 xml:space="preserve">3.4.2 初次认证审核方案应包括两阶段的初次审核、认证决定之后的监督审核和认证到期前进行的再认证审核。第一个三年的认证周期从初次认证决定算起，以后的周期从再认证决定算起。审核方案的确定和任何后续调整应考虑认证委托人的规模，其管理体系、产品和过程的范围与复杂程度，生产季和产品的安全风险以及经过证实的HACCP体系有效性水平和以前审核的结果。 </w:t>
      </w:r>
    </w:p>
    <w:p w14:paraId="7B3C0DD7">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3.4.3 监督审核应至少每年进行一次。</w:t>
      </w:r>
      <w:r>
        <w:rPr>
          <w:rFonts w:hint="eastAsia" w:eastAsia="仿宋_GB2312" w:cs="仿宋_GB2312"/>
          <w:color w:val="222222"/>
          <w:sz w:val="32"/>
          <w:szCs w:val="32"/>
        </w:rPr>
        <w:t>初次认证后的第一次监督审核应在认证决定之日起12个月内进行。此后，监督审核应至少每个日历年进行一次（再认证的年份除外），且两次监督审核的时间间隔不得超过15个月。</w:t>
      </w:r>
    </w:p>
    <w:p w14:paraId="699F332C">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3.4.4 审核组应在现场观察产品/服务实现的活动/过程。</w:t>
      </w:r>
    </w:p>
    <w:p w14:paraId="4D4EE630">
      <w:pPr>
        <w:adjustRightInd w:val="0"/>
        <w:snapToGrid w:val="0"/>
        <w:spacing w:line="594" w:lineRule="exact"/>
        <w:ind w:firstLine="628" w:firstLineChars="200"/>
        <w:outlineLvl w:val="0"/>
        <w:rPr>
          <w:rFonts w:eastAsia="仿宋_GB2312" w:cs="仿宋_GB2312"/>
          <w:sz w:val="32"/>
          <w:szCs w:val="32"/>
        </w:rPr>
      </w:pPr>
      <w:r>
        <w:rPr>
          <w:rFonts w:eastAsia="仿宋_GB2312" w:cs="仿宋_GB2312"/>
          <w:sz w:val="32"/>
          <w:szCs w:val="32"/>
        </w:rPr>
        <w:t>初次认证审核</w:t>
      </w:r>
      <w:r>
        <w:rPr>
          <w:rFonts w:hint="eastAsia" w:eastAsia="仿宋_GB2312" w:cs="仿宋_GB2312"/>
          <w:sz w:val="32"/>
          <w:szCs w:val="32"/>
        </w:rPr>
        <w:t>时</w:t>
      </w:r>
      <w:r>
        <w:rPr>
          <w:rFonts w:eastAsia="仿宋_GB2312" w:cs="仿宋_GB2312"/>
          <w:sz w:val="32"/>
          <w:szCs w:val="32"/>
        </w:rPr>
        <w:t>产品/服务实现现场至少应覆盖申请认证范围内的所有产品/服务小类；再认证审核</w:t>
      </w:r>
      <w:r>
        <w:rPr>
          <w:rFonts w:hint="eastAsia" w:eastAsia="仿宋_GB2312" w:cs="仿宋_GB2312"/>
          <w:sz w:val="32"/>
          <w:szCs w:val="32"/>
          <w:lang w:val="en-US" w:eastAsia="zh-CN"/>
        </w:rPr>
        <w:t>或</w:t>
      </w:r>
      <w:r>
        <w:rPr>
          <w:rFonts w:eastAsia="仿宋_GB2312" w:cs="仿宋_GB2312"/>
          <w:sz w:val="32"/>
          <w:szCs w:val="32"/>
        </w:rPr>
        <w:t>认证周期内每年的监督审核</w:t>
      </w:r>
      <w:r>
        <w:rPr>
          <w:rFonts w:hint="eastAsia" w:eastAsia="仿宋_GB2312" w:cs="仿宋_GB2312"/>
          <w:sz w:val="32"/>
          <w:szCs w:val="32"/>
          <w:lang w:val="en-US" w:eastAsia="zh-CN"/>
        </w:rPr>
        <w:t>时</w:t>
      </w:r>
      <w:r>
        <w:rPr>
          <w:rFonts w:eastAsia="仿宋_GB2312" w:cs="仿宋_GB2312"/>
          <w:sz w:val="32"/>
          <w:szCs w:val="32"/>
        </w:rPr>
        <w:t>，产品/服务实现现场至少应覆盖认证范围内的所有产品/服务类别（分类详见附件1</w:t>
      </w:r>
      <w:r>
        <w:rPr>
          <w:rFonts w:hint="eastAsia" w:eastAsia="仿宋_GB2312" w:cs="仿宋_GB2312"/>
          <w:sz w:val="32"/>
          <w:szCs w:val="32"/>
        </w:rPr>
        <w:t>）。</w:t>
      </w:r>
    </w:p>
    <w:p w14:paraId="0030F47B">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3.4.5审核产品/服务实现过程现场的时间应不低于总现场审核时间的50%。</w:t>
      </w:r>
    </w:p>
    <w:p w14:paraId="74263293">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3.4.6审核时间</w:t>
      </w:r>
    </w:p>
    <w:p w14:paraId="22F59762">
      <w:pPr>
        <w:spacing w:line="594" w:lineRule="exact"/>
        <w:ind w:firstLine="628" w:firstLineChars="200"/>
        <w:rPr>
          <w:rFonts w:eastAsia="仿宋_GB2312" w:cs="仿宋_GB2312"/>
          <w:sz w:val="32"/>
          <w:szCs w:val="32"/>
        </w:rPr>
      </w:pPr>
      <w:r>
        <w:rPr>
          <w:rFonts w:hint="eastAsia" w:eastAsia="仿宋_GB2312" w:cs="仿宋_GB2312"/>
          <w:sz w:val="32"/>
          <w:szCs w:val="32"/>
        </w:rPr>
        <w:t>认证机构应制定确定审核时间的文件。文件应考虑行业类别、HACCP项目、产品/服务实现过程的复杂程度、认证委托人的规模等因素，同时满足本规则附件3的要求。</w:t>
      </w:r>
    </w:p>
    <w:p w14:paraId="4ECD6511">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3.4.7组建审核组</w:t>
      </w:r>
    </w:p>
    <w:p w14:paraId="46771398">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3.4.7.1 审核组应具备实施认证委托人相应产品/服务类别HACCP认证审核的能力。当审核组的专业技术能力不足时，可以配备技术专家提供技术支持，但不计入审核时间。审核组成员应身体健康状况良好。</w:t>
      </w:r>
    </w:p>
    <w:p w14:paraId="466F0BD7">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3.4.7.2 认证机构应合理策划第一、二阶段审核组的衔接，确保两个阶段审核的连续性。第二阶段审核组中至少应包含一名第一阶段审核员。</w:t>
      </w:r>
    </w:p>
    <w:p w14:paraId="50A9B905">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3.4.7.3 初次认证第二阶段或再认证审核组至少应由两名审核员组成。</w:t>
      </w:r>
    </w:p>
    <w:p w14:paraId="47AC3710">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 xml:space="preserve">3.4.7.4 </w:t>
      </w:r>
      <w:bookmarkStart w:id="1" w:name="_Hlk65752617"/>
      <w:r>
        <w:rPr>
          <w:rFonts w:hint="eastAsia" w:eastAsia="仿宋_GB2312" w:cs="仿宋_GB2312"/>
          <w:sz w:val="32"/>
          <w:szCs w:val="32"/>
        </w:rPr>
        <w:t>同一审核员连续对同一生产现场实施认证审核的次数最多为6次</w:t>
      </w:r>
      <w:bookmarkEnd w:id="1"/>
      <w:r>
        <w:rPr>
          <w:rFonts w:hint="eastAsia" w:eastAsia="仿宋_GB2312" w:cs="仿宋_GB2312"/>
          <w:sz w:val="32"/>
          <w:szCs w:val="32"/>
        </w:rPr>
        <w:t>。</w:t>
      </w:r>
    </w:p>
    <w:p w14:paraId="179BEABA">
      <w:pPr>
        <w:adjustRightInd w:val="0"/>
        <w:snapToGrid w:val="0"/>
        <w:spacing w:line="594" w:lineRule="exact"/>
        <w:ind w:firstLine="628" w:firstLineChars="200"/>
        <w:rPr>
          <w:rFonts w:eastAsia="仿宋_GB2312" w:cs="仿宋_GB2312"/>
          <w:i/>
          <w:color w:val="FF0000"/>
          <w:sz w:val="32"/>
          <w:szCs w:val="32"/>
        </w:rPr>
      </w:pPr>
      <w:r>
        <w:rPr>
          <w:rFonts w:hint="eastAsia" w:eastAsia="仿宋_GB2312" w:cs="仿宋_GB2312"/>
          <w:i/>
          <w:sz w:val="32"/>
          <w:szCs w:val="32"/>
        </w:rPr>
        <w:t>注: 第一阶段审核或其他类型的特殊审核不计算次数。</w:t>
      </w:r>
    </w:p>
    <w:p w14:paraId="150CE173">
      <w:pPr>
        <w:adjustRightInd w:val="0"/>
        <w:snapToGrid w:val="0"/>
        <w:spacing w:line="594" w:lineRule="exact"/>
        <w:ind w:firstLine="628" w:firstLineChars="200"/>
        <w:rPr>
          <w:rFonts w:eastAsia="仿宋_GB2312" w:cs="仿宋_GB2312"/>
          <w:sz w:val="32"/>
          <w:szCs w:val="32"/>
          <w:highlight w:val="yellow"/>
        </w:rPr>
      </w:pPr>
      <w:r>
        <w:rPr>
          <w:rFonts w:hint="eastAsia" w:eastAsia="仿宋_GB2312" w:cs="仿宋_GB2312"/>
          <w:sz w:val="32"/>
          <w:szCs w:val="32"/>
        </w:rPr>
        <w:t>3.4.7.5 认证机构应在现场审核前告知认证委托人，并提供审核组每位成员的姓名。认证委托人如对审核组的组成提出异议且合理时，认证机构应调整审核组。</w:t>
      </w:r>
    </w:p>
    <w:p w14:paraId="5E76F9A9">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3.4.8认证机构应编制审核计划，并在现场审核活动开始前提交给认证委托人。</w:t>
      </w:r>
    </w:p>
    <w:p w14:paraId="404956C8">
      <w:pPr>
        <w:spacing w:line="594" w:lineRule="exact"/>
        <w:ind w:firstLine="628" w:firstLineChars="200"/>
        <w:rPr>
          <w:rFonts w:eastAsia="仿宋_GB2312" w:cs="仿宋_GB2312"/>
          <w:sz w:val="32"/>
          <w:szCs w:val="32"/>
        </w:rPr>
      </w:pPr>
      <w:r>
        <w:rPr>
          <w:rFonts w:hint="eastAsia" w:eastAsia="仿宋_GB2312" w:cs="仿宋_GB2312"/>
          <w:sz w:val="32"/>
          <w:szCs w:val="32"/>
        </w:rPr>
        <w:t>3.4.9 当认证委托人体系覆盖了多个场所时，认证机构应对包含中心职能部门在内的所有场所实施现场审核，以确保审核的有效性。</w:t>
      </w:r>
    </w:p>
    <w:p w14:paraId="0A4B6F71">
      <w:pPr>
        <w:spacing w:line="594" w:lineRule="exact"/>
        <w:ind w:firstLine="628" w:firstLineChars="200"/>
        <w:rPr>
          <w:rFonts w:eastAsia="仿宋_GB2312" w:cs="仿宋_GB2312"/>
          <w:sz w:val="32"/>
          <w:szCs w:val="32"/>
        </w:rPr>
      </w:pPr>
      <w:r>
        <w:rPr>
          <w:rFonts w:hint="eastAsia" w:eastAsia="仿宋_GB2312" w:cs="仿宋_GB2312"/>
          <w:sz w:val="32"/>
          <w:szCs w:val="32"/>
        </w:rPr>
        <w:t>3.4.10当认证委托人将</w:t>
      </w:r>
      <w:r>
        <w:rPr>
          <w:rFonts w:hint="eastAsia" w:eastAsia="仿宋_GB2312" w:cs="仿宋_GB2312"/>
          <w:spacing w:val="-12"/>
          <w:sz w:val="32"/>
          <w:szCs w:val="32"/>
        </w:rPr>
        <w:t>影响食品安全</w:t>
      </w:r>
      <w:r>
        <w:rPr>
          <w:rFonts w:hint="eastAsia" w:eastAsia="仿宋_GB2312" w:cs="仿宋_GB2312"/>
          <w:sz w:val="32"/>
          <w:szCs w:val="32"/>
        </w:rPr>
        <w:t>的重要生产过程采用委托加工等方式进行时，除非被委托加工组织的被委托加工活动已获得相应的HACCP认证或食品安全管理体系认证，否则应对委托加工过程实施现场审核。</w:t>
      </w:r>
    </w:p>
    <w:p w14:paraId="31579695">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3.5 审核实施</w:t>
      </w:r>
    </w:p>
    <w:p w14:paraId="74878430">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3.5.1初次认证审核</w:t>
      </w:r>
    </w:p>
    <w:p w14:paraId="7DCC567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HACCP认证初次认证审核应分两个阶段实施：第一阶段和第二阶段。</w:t>
      </w:r>
    </w:p>
    <w:p w14:paraId="12BD0E01">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3.5.1.1第一阶段审核</w:t>
      </w:r>
    </w:p>
    <w:p w14:paraId="739ED6DE">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 xml:space="preserve">第一阶段审核的目的是调查认证委托人是否已具备实施认证审核的条件和确定第二阶段审核的关注点，第一阶段审核应关注但不限于以下方面内容： </w:t>
      </w:r>
    </w:p>
    <w:p w14:paraId="2296359A">
      <w:pPr>
        <w:tabs>
          <w:tab w:val="left" w:pos="0"/>
          <w:tab w:val="left" w:pos="1080"/>
          <w:tab w:val="left" w:pos="126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 xml:space="preserve">（1）收集关于认证委托人的HACCP体系范围、过程和场所的必要信息，以及相关的法律、法规、标准要求和遵守情况； </w:t>
      </w:r>
    </w:p>
    <w:p w14:paraId="3D451EE3">
      <w:pPr>
        <w:tabs>
          <w:tab w:val="left" w:pos="0"/>
          <w:tab w:val="left" w:pos="1080"/>
          <w:tab w:val="left" w:pos="126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（2）充分识别委托加工等生产活动对食品安全的影响程度；初步评价认证委托人厂区环境、厂房及设施、设备、人员、卫生管理等是否符合相对应的良好生产</w:t>
      </w:r>
      <w:r>
        <w:rPr>
          <w:rFonts w:hint="eastAsia" w:eastAsia="仿宋_GB2312" w:cs="仿宋_GB2312"/>
          <w:sz w:val="32"/>
          <w:szCs w:val="32"/>
          <w:lang w:val="en-US" w:eastAsia="zh-CN"/>
        </w:rPr>
        <w:t>/卫生</w:t>
      </w:r>
      <w:r>
        <w:rPr>
          <w:rFonts w:hint="eastAsia" w:eastAsia="仿宋_GB2312" w:cs="仿宋_GB2312"/>
          <w:sz w:val="32"/>
          <w:szCs w:val="32"/>
        </w:rPr>
        <w:t>规范的要求；</w:t>
      </w:r>
    </w:p>
    <w:p w14:paraId="595B290F">
      <w:pPr>
        <w:tabs>
          <w:tab w:val="left" w:pos="0"/>
          <w:tab w:val="left" w:pos="1080"/>
          <w:tab w:val="left" w:pos="126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（3）了解认证委托人对认证标准要求的理解，评审认证委托人的HACCP体系文件和食品安全方针的适宜性。重点评审认证委托人体系文件的符合性、适宜性，特别关注关键控制点、关键限值的确定及其支持性证据。</w:t>
      </w:r>
    </w:p>
    <w:p w14:paraId="6DDC1156">
      <w:pPr>
        <w:tabs>
          <w:tab w:val="left" w:pos="0"/>
          <w:tab w:val="left" w:pos="1080"/>
          <w:tab w:val="left" w:pos="126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4）了解认证委托人的HACCP体系和现场运作，评价认证委托人的内部审核、管理评审、运作场所和现场的具体情况及体系的实施程度，确认认证委托人是否已为第二阶段审核做好准备，并与认证委托人商定第二阶段审核的细节，明确审核范围，为策划第二阶段审核提供关注点。</w:t>
      </w:r>
    </w:p>
    <w:p w14:paraId="1C82C503">
      <w:pPr>
        <w:tabs>
          <w:tab w:val="left" w:pos="1080"/>
          <w:tab w:val="left" w:pos="126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第一阶段应在认证委托人现场实施，以达到第一阶段的审核目的。当认证委托人已获得同一认证机构颁发的其他以HACCP原理为核心的食品安全相关认证证书，且证书有效时，认证机构经过风险评估后，第一阶段可不在现场实施，但应确保第一阶段的目的已全部实现，且记录未在现场实施的原因。</w:t>
      </w:r>
    </w:p>
    <w:p w14:paraId="629C1FF1">
      <w:pPr>
        <w:tabs>
          <w:tab w:val="left" w:pos="1080"/>
          <w:tab w:val="left" w:pos="126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应告知认证委托人第一阶段的审核结果可能导致推迟或取消第二阶段审核。</w:t>
      </w:r>
    </w:p>
    <w:p w14:paraId="3CACF557">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3.5.1.2第二阶段审核</w:t>
      </w:r>
    </w:p>
    <w:p w14:paraId="37112102">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第二阶段审核应在认证委托人现场实施，目的是评价认证委托人HACCP体系实施的符合性和有效性。</w:t>
      </w:r>
    </w:p>
    <w:p w14:paraId="689693DE">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第二阶段审核应在具备实施认证审核的条件下进行，第一阶段审核提出的影响实施第二阶段审核的问题应在第二阶段审核前得到解决。</w:t>
      </w:r>
    </w:p>
    <w:p w14:paraId="58FC405F">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第二阶段审核应重点关注但不限于以下方面内容：</w:t>
      </w:r>
    </w:p>
    <w:p w14:paraId="2A7A43AF">
      <w:pPr>
        <w:pStyle w:val="28"/>
        <w:tabs>
          <w:tab w:val="left" w:pos="0"/>
          <w:tab w:val="left" w:pos="360"/>
          <w:tab w:val="left" w:pos="993"/>
          <w:tab w:val="left" w:pos="1080"/>
          <w:tab w:val="left" w:pos="1260"/>
          <w:tab w:val="left" w:pos="1620"/>
        </w:tabs>
        <w:adjustRightInd w:val="0"/>
        <w:snapToGrid w:val="0"/>
        <w:spacing w:line="594" w:lineRule="exact"/>
        <w:ind w:firstLine="627"/>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（1）与认证依据文件中所有要求的符合性；</w:t>
      </w:r>
    </w:p>
    <w:p w14:paraId="44BCB7DA">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（2）与我国和进口国（地区）适用法律、法规及标准的符合性，以及出口食品生产企业安全卫生要求的符合性（适用时）；</w:t>
      </w:r>
    </w:p>
    <w:p w14:paraId="447626CC">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（3）管理职责的履行、食品安全方针的贯彻、目标的达成；</w:t>
      </w:r>
    </w:p>
    <w:p w14:paraId="34C2159E">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（4）HACCP体系范围内对应产品的良好生产/卫生规范要求的符合性；</w:t>
      </w:r>
    </w:p>
    <w:p w14:paraId="54D4AC07">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（5）前提计划及</w:t>
      </w:r>
      <w:r>
        <w:rPr>
          <w:rFonts w:eastAsia="仿宋_GB2312" w:cs="仿宋_GB2312"/>
          <w:sz w:val="32"/>
          <w:szCs w:val="32"/>
        </w:rPr>
        <w:t>HACCP</w:t>
      </w:r>
      <w:r>
        <w:rPr>
          <w:rFonts w:hint="eastAsia" w:eastAsia="仿宋_GB2312" w:cs="仿宋_GB2312"/>
          <w:sz w:val="32"/>
          <w:szCs w:val="32"/>
        </w:rPr>
        <w:t>计划实施的有效性，对产品食品安全危害的控制能力；</w:t>
      </w:r>
    </w:p>
    <w:p w14:paraId="296818C5">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（6）原辅料及与食品接触材料的食品安全危害识别的充分性和控制的有效性；</w:t>
      </w:r>
    </w:p>
    <w:p w14:paraId="1F3597A3">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eastAsia="仿宋_GB2312"/>
          <w:sz w:val="32"/>
          <w:szCs w:val="32"/>
        </w:rPr>
        <w:t>（</w:t>
      </w:r>
      <w:r>
        <w:rPr>
          <w:rFonts w:hint="eastAsia" w:eastAsia="仿宋_GB2312"/>
          <w:sz w:val="32"/>
          <w:szCs w:val="32"/>
        </w:rPr>
        <w:t>7</w:t>
      </w:r>
      <w:r>
        <w:rPr>
          <w:rFonts w:eastAsia="仿宋_GB2312"/>
          <w:sz w:val="32"/>
          <w:szCs w:val="32"/>
        </w:rPr>
        <w:t>）</w:t>
      </w:r>
      <w:r>
        <w:rPr>
          <w:rFonts w:hint="eastAsia" w:eastAsia="仿宋_GB2312" w:cs="仿宋_GB2312"/>
          <w:sz w:val="32"/>
          <w:szCs w:val="32"/>
        </w:rPr>
        <w:t>生产过程中对食品安全危害控制的有效性；</w:t>
      </w:r>
    </w:p>
    <w:p w14:paraId="7624BC83">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（8）产品可追溯性体系的建立及不合格产品的控制；</w:t>
      </w:r>
    </w:p>
    <w:p w14:paraId="3F4C0AD4">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（9）食品安全验证活动的有效性及食品安全状况；</w:t>
      </w:r>
    </w:p>
    <w:p w14:paraId="49FC5D22">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（10）认证委托人对投诉的处理；</w:t>
      </w:r>
    </w:p>
    <w:p w14:paraId="260A482A">
      <w:pPr>
        <w:tabs>
          <w:tab w:val="left" w:pos="0"/>
          <w:tab w:val="left" w:pos="360"/>
          <w:tab w:val="left" w:pos="1080"/>
          <w:tab w:val="left" w:pos="1260"/>
          <w:tab w:val="left" w:pos="162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（11）内部审核和管理评审。</w:t>
      </w:r>
    </w:p>
    <w:p w14:paraId="13264F00">
      <w:pPr>
        <w:adjustRightInd w:val="0"/>
        <w:snapToGrid w:val="0"/>
        <w:spacing w:line="594" w:lineRule="exact"/>
        <w:ind w:firstLine="580" w:firstLineChars="200"/>
        <w:rPr>
          <w:rFonts w:eastAsia="仿宋_GB2312" w:cs="仿宋_GB2312"/>
          <w:spacing w:val="-12"/>
          <w:sz w:val="32"/>
          <w:szCs w:val="32"/>
        </w:rPr>
      </w:pPr>
      <w:r>
        <w:rPr>
          <w:rFonts w:hint="eastAsia" w:eastAsia="仿宋_GB2312" w:cs="仿宋_GB2312"/>
          <w:spacing w:val="-12"/>
          <w:sz w:val="32"/>
          <w:szCs w:val="32"/>
        </w:rPr>
        <w:t>对于第一阶段审核过的HACCP体系的相应部分，被确定为实施充分有效并符合要求的，第二阶段可以不再对其审核，但认证机构应确保HACCP体系已审核的部分持续符合认证要求。第二阶段的审核报告应包含第一阶段审核中的审核发现，并且应清楚地表述第一阶段审核已经确立的符合性。</w:t>
      </w:r>
    </w:p>
    <w:p w14:paraId="2FF41E70">
      <w:pPr>
        <w:adjustRightInd w:val="0"/>
        <w:snapToGrid w:val="0"/>
        <w:spacing w:line="594" w:lineRule="exact"/>
        <w:ind w:firstLine="580" w:firstLineChars="200"/>
        <w:rPr>
          <w:rFonts w:eastAsia="仿宋_GB2312" w:cs="仿宋_GB2312"/>
          <w:spacing w:val="-12"/>
          <w:sz w:val="32"/>
          <w:szCs w:val="32"/>
          <w:highlight w:val="yellow"/>
        </w:rPr>
      </w:pPr>
      <w:r>
        <w:rPr>
          <w:rFonts w:hint="eastAsia" w:eastAsia="仿宋_GB2312" w:cs="仿宋_GB2312"/>
          <w:spacing w:val="-12"/>
          <w:sz w:val="32"/>
          <w:szCs w:val="32"/>
        </w:rPr>
        <w:t>第一阶段和第二阶段审核的间隔应不超过6个月。如果超过6个月，应重新实施第一阶段审核。</w:t>
      </w:r>
    </w:p>
    <w:p w14:paraId="23822EA8">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3.5.2 在审核中应通过适当的抽样来获取与审核目的、范围和准则相关的信息并进行验证，使之成为审核证据。信息获取方法可包括面谈、观察、文件和记录的审查等。</w:t>
      </w:r>
    </w:p>
    <w:p w14:paraId="6E49B06A">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3.5.3 审核组应确定审核发现（概述符合性并详细描述不符合），并予以分级和报告，为认证决定或保持认证提供充分的信息。</w:t>
      </w:r>
    </w:p>
    <w:p w14:paraId="53D2CCC9">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3.5.4对于审核中发现的不符合，认证机构应出具书面不符合报告，要求认证委托人在规定的期限内分析原因、说明为消除不符合已采取或拟采取的具体纠正和纠正措施，并提出明确的验证要求。认证机构应评审认证委托人提交的纠正和纠正措施，以确定其是否可接受。认证委托人对不符合采取纠正和纠正措施的时间不得超过3个月。</w:t>
      </w:r>
    </w:p>
    <w:p w14:paraId="576271FF">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3.5.5审核组应对在第一阶段和第二阶段审核中收集的所有信息和证据进行分析，以评审审核发现并就审核结论达成一致。</w:t>
      </w:r>
    </w:p>
    <w:p w14:paraId="692F7D44">
      <w:pPr>
        <w:spacing w:line="594" w:lineRule="exact"/>
        <w:ind w:firstLine="628" w:firstLineChars="200"/>
        <w:rPr>
          <w:rFonts w:eastAsia="仿宋_GB2312" w:cs="仿宋_GB2312"/>
          <w:sz w:val="32"/>
          <w:szCs w:val="32"/>
        </w:rPr>
      </w:pPr>
      <w:r>
        <w:rPr>
          <w:rFonts w:hint="eastAsia" w:eastAsia="仿宋_GB2312" w:cs="仿宋_GB2312"/>
          <w:sz w:val="32"/>
          <w:szCs w:val="32"/>
        </w:rPr>
        <w:t>3.5.6审核组应为每次审核编写书面审核报告，认证机构应向认证委托人提供审核报告。认证机构如须向行业主管部门或其他第三方提供审核报告时，应获得认证委托人同意。审核报告应提供对审核的准确、简明和清晰的记录，为认证决定提供充分的信息，并应包括或引用下列内容：</w:t>
      </w:r>
    </w:p>
    <w:p w14:paraId="1E4D196E">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（1）认证委托人的名称、场所、地址和审核范围；</w:t>
      </w:r>
    </w:p>
    <w:p w14:paraId="0FB01829">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（2）审核的类型、准则和目的；</w:t>
      </w:r>
    </w:p>
    <w:p w14:paraId="7F24E46D">
      <w:pPr>
        <w:pStyle w:val="20"/>
        <w:adjustRightInd w:val="0"/>
        <w:snapToGrid w:val="0"/>
        <w:spacing w:line="594" w:lineRule="exact"/>
        <w:ind w:firstLine="627"/>
        <w:rPr>
          <w:rFonts w:eastAsia="仿宋_GB2312" w:cs="仿宋_GB2312"/>
          <w:sz w:val="32"/>
          <w:szCs w:val="32"/>
        </w:rPr>
      </w:pPr>
      <w:r>
        <w:rPr>
          <w:rFonts w:hint="eastAsia" w:eastAsia="仿宋_GB2312" w:cs="仿宋_GB2312"/>
          <w:color w:val="222222"/>
          <w:sz w:val="32"/>
          <w:szCs w:val="32"/>
        </w:rPr>
        <w:t>（3）审核组组长、审核组成员及其个人注册信息</w:t>
      </w:r>
      <w:r>
        <w:rPr>
          <w:rFonts w:hint="eastAsia" w:eastAsia="仿宋_GB2312" w:cs="仿宋_GB2312"/>
          <w:sz w:val="32"/>
          <w:szCs w:val="32"/>
        </w:rPr>
        <w:t>；</w:t>
      </w:r>
    </w:p>
    <w:p w14:paraId="1FDF4587">
      <w:pPr>
        <w:pStyle w:val="20"/>
        <w:adjustRightInd w:val="0"/>
        <w:snapToGrid w:val="0"/>
        <w:spacing w:line="594" w:lineRule="exact"/>
        <w:ind w:firstLine="627"/>
        <w:rPr>
          <w:rFonts w:eastAsia="仿宋_GB2312" w:cs="仿宋_GB2312"/>
          <w:sz w:val="32"/>
          <w:szCs w:val="32"/>
        </w:rPr>
      </w:pPr>
      <w:r>
        <w:rPr>
          <w:rFonts w:hint="eastAsia" w:eastAsia="仿宋_GB2312" w:cs="仿宋_GB2312"/>
          <w:color w:val="222222"/>
          <w:sz w:val="32"/>
          <w:szCs w:val="32"/>
        </w:rPr>
        <w:t>（4） 审核活动的实施日期和地点，包括固定现场和临时现场；</w:t>
      </w:r>
    </w:p>
    <w:p w14:paraId="0D26424B">
      <w:pPr>
        <w:pStyle w:val="20"/>
        <w:adjustRightInd w:val="0"/>
        <w:snapToGrid w:val="0"/>
        <w:spacing w:line="594" w:lineRule="exact"/>
        <w:ind w:firstLine="627"/>
        <w:rPr>
          <w:rFonts w:eastAsia="仿宋_GB2312" w:cs="仿宋_GB2312"/>
          <w:sz w:val="32"/>
          <w:szCs w:val="32"/>
        </w:rPr>
      </w:pPr>
      <w:r>
        <w:rPr>
          <w:rFonts w:hint="eastAsia" w:eastAsia="仿宋_GB2312" w:cs="仿宋_GB2312"/>
          <w:color w:val="222222"/>
          <w:sz w:val="32"/>
          <w:szCs w:val="32"/>
        </w:rPr>
        <w:t>（5）对偏离审核计划情况的说明，包括对审核风险及影响审核结论的不确定性的客观陈述；</w:t>
      </w:r>
    </w:p>
    <w:p w14:paraId="1F99027B">
      <w:pPr>
        <w:pStyle w:val="20"/>
        <w:adjustRightInd w:val="0"/>
        <w:snapToGrid w:val="0"/>
        <w:spacing w:line="594" w:lineRule="exact"/>
        <w:ind w:firstLine="627"/>
        <w:rPr>
          <w:rFonts w:eastAsia="仿宋_GB2312" w:cs="仿宋_GB2312"/>
          <w:sz w:val="32"/>
          <w:szCs w:val="32"/>
        </w:rPr>
      </w:pPr>
      <w:r>
        <w:rPr>
          <w:rFonts w:hint="eastAsia" w:eastAsia="仿宋_GB2312" w:cs="仿宋_GB2312"/>
          <w:color w:val="222222"/>
          <w:sz w:val="32"/>
          <w:szCs w:val="32"/>
        </w:rPr>
        <w:t>（6）与审核类型的要求一致的审核发现、对审核证据的引用及审核结论，特别是对食品安全危害控制措施实施有效性的评价；</w:t>
      </w:r>
    </w:p>
    <w:p w14:paraId="19361976">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（7）发现的不符合项和其他未解决的问题；</w:t>
      </w:r>
    </w:p>
    <w:p w14:paraId="11757EDE">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 xml:space="preserve">（8）适用时，在上次审核后发生的影响客户HACCP体系的重要变更； </w:t>
      </w:r>
    </w:p>
    <w:p w14:paraId="00596490">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（9）审核组的推荐意见。</w:t>
      </w:r>
    </w:p>
    <w:p w14:paraId="56D3B9DD">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3.5.7产品安全性验证</w:t>
      </w:r>
    </w:p>
    <w:p w14:paraId="2A5E4C96">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为验证危害分析的输入持续更新、危害水平在确定的可接受水平之内，前提计划和HACCP计划得以实施且有效，特别是产品的安全状况等情况，认证机构在现场审核或相关过程中应对申请认证的产品进行抽样验证，抽样至少应覆盖当次审核范围中所有的产品小类。产品安全性的验证可采取下列方式：</w:t>
      </w:r>
    </w:p>
    <w:p w14:paraId="5868CC6A">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（1）根据我国和进口国（地区）相关指南、标准、规范或相关要求确定检验方法和检验项目，在现场或销售终端抽样并委托具备法定资质的第三方检验检测机构进行产品检测；</w:t>
      </w:r>
    </w:p>
    <w:p w14:paraId="3E955BD0">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（2）由现场审核人员进行风险评估，并现场见证认证委托人实施的产品安全性验证。认证机构应对检验设施与检验人员提出相应的控制要求；</w:t>
      </w:r>
    </w:p>
    <w:p w14:paraId="6B3273EF">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（3）由现场审核人员确认并收集12个月内由具备法定资质的第三方检验检测机构出具的检验报告。当认证机构认为检验项目不足以验证产品的安全性时，应采取相应的处理措施。</w:t>
      </w:r>
    </w:p>
    <w:p w14:paraId="462D5429">
      <w:pPr>
        <w:spacing w:line="594" w:lineRule="exact"/>
        <w:ind w:firstLine="628" w:firstLineChars="200"/>
        <w:rPr>
          <w:rFonts w:eastAsia="楷体_GB2312" w:cs="楷体_GB2312"/>
          <w:sz w:val="32"/>
          <w:szCs w:val="32"/>
        </w:rPr>
      </w:pPr>
      <w:r>
        <w:rPr>
          <w:rFonts w:hint="eastAsia" w:eastAsia="楷体_GB2312" w:cs="楷体_GB2312"/>
          <w:sz w:val="32"/>
          <w:szCs w:val="32"/>
        </w:rPr>
        <w:t>3.6 认证决定</w:t>
      </w:r>
    </w:p>
    <w:p w14:paraId="3BDB9A94">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3.6.1综合评价</w:t>
      </w:r>
    </w:p>
    <w:p w14:paraId="73D0772B">
      <w:pPr>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sz w:val="32"/>
          <w:szCs w:val="32"/>
        </w:rPr>
        <w:t>认证机构应根据审核过程中收集的信息和其他有关信息，特别是对产品的实际安全状况和企业诚信情况进行综合评价，做出认证决定。审核组成员不得参与认证决定。</w:t>
      </w:r>
      <w:r>
        <w:rPr>
          <w:rFonts w:hint="eastAsia" w:eastAsia="仿宋_GB2312" w:cs="仿宋_GB2312"/>
          <w:color w:val="222222"/>
          <w:sz w:val="32"/>
          <w:szCs w:val="32"/>
        </w:rPr>
        <w:t>认证机构在做出认证决定前应确认：</w:t>
      </w:r>
    </w:p>
    <w:p w14:paraId="1D4C1C4B">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（1）审核组提供的审核报告及其他信息能够满足做出认证决定的需要；</w:t>
      </w:r>
    </w:p>
    <w:p w14:paraId="77DA8426">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（2）已对所有的严重不符合进行评审，并接受和验证了纠正和纠正措施；</w:t>
      </w:r>
    </w:p>
    <w:p w14:paraId="0C0F4470">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（3）已对所有一般不符合进行评审，并接受了认证委托人的纠正和纠正措施计划。</w:t>
      </w:r>
    </w:p>
    <w:p w14:paraId="66086AD0">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对于符合认证要求的认证委托人，认证机构应颁发认证证书；对于不符合认证要求的认证委托人，认证机构应告知其不能通过认证的原因。</w:t>
      </w:r>
    </w:p>
    <w:p w14:paraId="146EB74B">
      <w:pPr>
        <w:adjustRightInd w:val="0"/>
        <w:snapToGrid w:val="0"/>
        <w:spacing w:line="594" w:lineRule="exact"/>
        <w:ind w:firstLine="628" w:firstLineChars="200"/>
        <w:outlineLvl w:val="0"/>
        <w:rPr>
          <w:rFonts w:eastAsia="仿宋_GB2312" w:cs="仿宋_GB2312"/>
          <w:sz w:val="32"/>
          <w:szCs w:val="32"/>
        </w:rPr>
      </w:pPr>
      <w:r>
        <w:rPr>
          <w:rFonts w:hint="eastAsia" w:eastAsia="仿宋_GB2312" w:cs="仿宋_GB2312"/>
          <w:sz w:val="32"/>
          <w:szCs w:val="32"/>
        </w:rPr>
        <w:t>3.6.2对认证决定的申投诉</w:t>
      </w:r>
    </w:p>
    <w:p w14:paraId="61E5C83E">
      <w:pPr>
        <w:adjustRightInd w:val="0"/>
        <w:snapToGrid w:val="0"/>
        <w:spacing w:line="594" w:lineRule="exact"/>
        <w:ind w:firstLine="625" w:firstLineChars="199"/>
        <w:rPr>
          <w:rFonts w:eastAsia="仿宋_GB2312" w:cs="仿宋_GB2312"/>
          <w:sz w:val="32"/>
          <w:szCs w:val="32"/>
        </w:rPr>
      </w:pPr>
      <w:r>
        <w:rPr>
          <w:rFonts w:hint="eastAsia" w:eastAsia="仿宋_GB2312" w:cs="仿宋_GB2312"/>
          <w:sz w:val="32"/>
          <w:szCs w:val="32"/>
        </w:rPr>
        <w:t>认证委托人如对认证决定有异议，可在10个工作日内向认证机构申诉，认证机构自收到申诉之日起，应在一个月内进行处理，并将处理结果书面通知认证委托人。</w:t>
      </w:r>
    </w:p>
    <w:p w14:paraId="4D9347D0">
      <w:pPr>
        <w:adjustRightInd w:val="0"/>
        <w:snapToGrid w:val="0"/>
        <w:spacing w:line="594" w:lineRule="exact"/>
        <w:ind w:firstLine="471" w:firstLineChars="150"/>
        <w:rPr>
          <w:rFonts w:eastAsia="仿宋_GB2312" w:cs="仿宋_GB2312"/>
          <w:sz w:val="32"/>
          <w:szCs w:val="32"/>
        </w:rPr>
      </w:pPr>
      <w:r>
        <w:rPr>
          <w:rFonts w:hint="eastAsia" w:eastAsia="仿宋_GB2312" w:cs="仿宋_GB2312"/>
          <w:sz w:val="32"/>
          <w:szCs w:val="32"/>
        </w:rPr>
        <w:t xml:space="preserve"> 认证委托人认为认证机构行为违反了相关法规，严重侵害了自身合法权益的，可以直接向各级认证监管部门投诉。</w:t>
      </w:r>
    </w:p>
    <w:p w14:paraId="394219F1">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3.7 监督活动</w:t>
      </w:r>
    </w:p>
    <w:p w14:paraId="675D486D">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认证机构应策划相应的监督活动，对获证组织体系范围内有代表性的区域和职能进行监督，并考虑获证组织及其管理体系的变更情况。监督活动包括监督审核和跟踪调查。</w:t>
      </w:r>
    </w:p>
    <w:p w14:paraId="300AAB1A">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3.7.1监督审核</w:t>
      </w:r>
    </w:p>
    <w:p w14:paraId="7BC4E4D3">
      <w:pPr>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sz w:val="32"/>
          <w:szCs w:val="32"/>
        </w:rPr>
        <w:t>3.7.1.1 认证机构应根据获证组织及体系覆盖产品的风险，合理确定监督审核的时间间隔或频次。当体系发生重大变化或发生食品安全事故时，认证机构应增加监督审核的频次。</w:t>
      </w:r>
    </w:p>
    <w:p w14:paraId="0E69AF47">
      <w:pPr>
        <w:adjustRightInd w:val="0"/>
        <w:snapToGrid w:val="0"/>
        <w:spacing w:line="594" w:lineRule="exact"/>
        <w:ind w:firstLine="628" w:firstLineChars="200"/>
        <w:rPr>
          <w:rFonts w:eastAsia="仿宋_GB2312" w:cs="仿宋_GB2312"/>
          <w:sz w:val="32"/>
          <w:szCs w:val="32"/>
        </w:rPr>
      </w:pPr>
      <w:r>
        <w:rPr>
          <w:rFonts w:hint="eastAsia" w:eastAsia="仿宋_GB2312" w:cs="仿宋_GB2312"/>
          <w:color w:val="222222"/>
          <w:sz w:val="32"/>
          <w:szCs w:val="32"/>
        </w:rPr>
        <w:t xml:space="preserve">3.7.1.2 </w:t>
      </w:r>
      <w:r>
        <w:rPr>
          <w:rFonts w:hint="eastAsia" w:eastAsia="仿宋_GB2312" w:cs="仿宋_GB2312"/>
          <w:sz w:val="32"/>
          <w:szCs w:val="32"/>
        </w:rPr>
        <w:t>每次监督审核应尽可能覆盖HACCP认证范围内的产品/服务。由于产品生产季节性或客户需求等原因，难以覆盖所有产品/服务的，认证周期内的监督审核至少应覆盖认证范围内所有的产品/服务类别，必要时可分多次实施。</w:t>
      </w:r>
    </w:p>
    <w:p w14:paraId="1E1C24A9">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3.7.1.3 监督审核应包括但不限于以下内容：</w:t>
      </w:r>
    </w:p>
    <w:p w14:paraId="7B6E664A">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（1）是否被列入国家信用信息严重失信主体相关名录；</w:t>
      </w:r>
    </w:p>
    <w:p w14:paraId="7501CA35">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（2）与HACCP体系有关的变更；</w:t>
      </w:r>
    </w:p>
    <w:p w14:paraId="6E4AA87F">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（3）重要原、辅料及产品的安全性状况；</w:t>
      </w:r>
    </w:p>
    <w:p w14:paraId="15E74D76">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（4）持续的运作控制，特别是食品安全危害控制的实施；</w:t>
      </w:r>
    </w:p>
    <w:p w14:paraId="09AC7EB3">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（5）顾客投诉及处理；</w:t>
      </w:r>
    </w:p>
    <w:p w14:paraId="6B3B7A66">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（6）内部审核和管理评审；</w:t>
      </w:r>
    </w:p>
    <w:p w14:paraId="1BF51545">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（7）对上次审核中确定的不符合所采取的纠正措施；</w:t>
      </w:r>
    </w:p>
    <w:p w14:paraId="471C9B3E">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（8）持续符合我国和进口国（地区）相关法律法规标准的情况；</w:t>
      </w:r>
    </w:p>
    <w:p w14:paraId="5B00EA02">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（9）行业主管部门抽查的结果；</w:t>
      </w:r>
    </w:p>
    <w:p w14:paraId="03FD74D4">
      <w:pPr>
        <w:pStyle w:val="20"/>
        <w:adjustRightInd w:val="0"/>
        <w:snapToGrid w:val="0"/>
        <w:spacing w:line="594" w:lineRule="exact"/>
        <w:ind w:firstLine="627"/>
        <w:rPr>
          <w:rFonts w:eastAsia="仿宋_GB2312" w:cs="仿宋_GB2312"/>
          <w:sz w:val="32"/>
          <w:szCs w:val="32"/>
        </w:rPr>
      </w:pPr>
      <w:r>
        <w:rPr>
          <w:rFonts w:hint="eastAsia" w:eastAsia="仿宋_GB2312" w:cs="仿宋_GB2312"/>
          <w:sz w:val="32"/>
          <w:szCs w:val="32"/>
        </w:rPr>
        <w:t>（10）证书和标识的使用。</w:t>
      </w:r>
    </w:p>
    <w:p w14:paraId="70631C1B">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3.7.1.4监督审核应对产品的安全性进行验证。验证要求参照本规则3.5.7条款。</w:t>
      </w:r>
    </w:p>
    <w:p w14:paraId="4B7B41D4">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3.7.1.5 监督审核结果评价</w:t>
      </w:r>
    </w:p>
    <w:p w14:paraId="3585818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认证机构应依据监督审核结果，对获证组织做出保持、暂停或撤销其认证资格的决定。</w:t>
      </w:r>
    </w:p>
    <w:p w14:paraId="40E5A70E">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3.7.2 跟踪调查</w:t>
      </w:r>
    </w:p>
    <w:p w14:paraId="5CFD9B33">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3.7.2.1跟踪调查方式</w:t>
      </w:r>
    </w:p>
    <w:p w14:paraId="36933F6D">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认证机构应在风险分析的基础上，策划采用不通知现场审核、生产现场产品抽样检验、市场抽样检验、问卷调查、宣传材料审查等方式对获证组织HACCP体系的部分或全部内容实施跟踪调查。每年跟踪调查组织的比例应不少于获证组织总数的5%。</w:t>
      </w:r>
    </w:p>
    <w:p w14:paraId="3FAB3896">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3.7.2.2跟踪调查实施及结果处理</w:t>
      </w:r>
    </w:p>
    <w:p w14:paraId="1F2E95D5">
      <w:pPr>
        <w:adjustRightInd w:val="0"/>
        <w:snapToGrid w:val="0"/>
        <w:spacing w:line="594" w:lineRule="exact"/>
        <w:rPr>
          <w:rFonts w:eastAsia="仿宋_GB2312" w:cs="仿宋_GB2312"/>
          <w:sz w:val="32"/>
          <w:szCs w:val="32"/>
        </w:rPr>
      </w:pPr>
      <w:r>
        <w:rPr>
          <w:rFonts w:hint="eastAsia" w:eastAsia="仿宋_GB2312" w:cs="仿宋_GB2312"/>
          <w:sz w:val="32"/>
          <w:szCs w:val="32"/>
        </w:rPr>
        <w:t xml:space="preserve">    认证机构应制定跟踪调查活动程序、实施要求及跟踪调查结果处理办法。当跟踪调查结果表明获证组织已不再符合认证要求时，应暂停或撤销认证证书。</w:t>
      </w:r>
    </w:p>
    <w:p w14:paraId="7797E9D7">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3.7.3 获证组织信息通报</w:t>
      </w:r>
    </w:p>
    <w:p w14:paraId="70AE4804">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为确保获证组织的HACCP体系持续有效，认证机构应做出在法律上具有强制实施力的安排，以确保获证组织及时将可能影响HACCP体系持续满足认证要求的事宜通报给认证机构，包括但不限于与以下内容：</w:t>
      </w:r>
    </w:p>
    <w:p w14:paraId="67C1FB66">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（1）有关法律地位、所有权变更的信息；</w:t>
      </w:r>
    </w:p>
    <w:p w14:paraId="2787E09E">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（2）联系地址和场所变更的信息；</w:t>
      </w:r>
    </w:p>
    <w:p w14:paraId="7449C6E1">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（3）HACCP体系和过程重大变更的信息，产品工艺环境重大变化信息；</w:t>
      </w:r>
    </w:p>
    <w:p w14:paraId="0F57F6DF">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（4）食品安全事故的信息或与食品安全相关的消费者投诉信息；</w:t>
      </w:r>
    </w:p>
    <w:p w14:paraId="4A9E5185">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 xml:space="preserve">（5）所在区域内发生的有关重大动、植物疫情的信息； </w:t>
      </w:r>
    </w:p>
    <w:p w14:paraId="26F400C1">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（6）官方检查或政府部门组织的市场抽查中被发现有食品安全问题的信息，或出口的产品因安全卫生方面的问题被进口国（地区）主管当局通报的；</w:t>
      </w:r>
    </w:p>
    <w:p w14:paraId="74EF2E7B">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（7）不合格品召回及处理的信息；</w:t>
      </w:r>
    </w:p>
    <w:p w14:paraId="1080526D">
      <w:pPr>
        <w:tabs>
          <w:tab w:val="left" w:pos="0"/>
        </w:tabs>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（8）其他重要信息。</w:t>
      </w:r>
    </w:p>
    <w:p w14:paraId="3FB3F8A3">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3.7.4 信息分析</w:t>
      </w:r>
    </w:p>
    <w:p w14:paraId="2FCE9A5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认证机构应对上述信息进行分析，视情况采取相应措施，如增加监督审核频次、暂停或撤销认证资格等。</w:t>
      </w:r>
    </w:p>
    <w:p w14:paraId="2B2CFB0C">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3.8 再认证</w:t>
      </w:r>
    </w:p>
    <w:p w14:paraId="00A740A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3.8.1获证组织宜在认证证书有效期结束前3个月向认证机构提出再认证申请。认证机构应根据获证组织的再认证申请实施再认证审核，以判断组织HACCP体系的持续符合性和有效性。再认证审核应在认证证书到期前完成。</w:t>
      </w:r>
    </w:p>
    <w:p w14:paraId="7E733D67">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3.8.2 认证机构应按照本规则3.4.7条款要求组建审核组。</w:t>
      </w:r>
    </w:p>
    <w:p w14:paraId="58A88DA8">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3.8.3 当HACCP体系或运作环境（如区域、法律法规、食品安全标准等）有重大变更，并经评价需要</w:t>
      </w:r>
      <w:r>
        <w:rPr>
          <w:rFonts w:hint="eastAsia" w:eastAsia="仿宋_GB2312" w:cs="仿宋_GB2312"/>
          <w:color w:val="000000"/>
          <w:sz w:val="32"/>
          <w:szCs w:val="32"/>
        </w:rPr>
        <w:t>时</w:t>
      </w:r>
      <w:r>
        <w:rPr>
          <w:rFonts w:hint="eastAsia" w:eastAsia="仿宋_GB2312" w:cs="仿宋_GB2312"/>
          <w:sz w:val="32"/>
          <w:szCs w:val="32"/>
        </w:rPr>
        <w:t>，再认证需增加第一阶段审核。</w:t>
      </w:r>
    </w:p>
    <w:p w14:paraId="07FB598B">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 xml:space="preserve">3.8.4 </w:t>
      </w:r>
      <w:r>
        <w:rPr>
          <w:rFonts w:hint="eastAsia" w:eastAsia="仿宋_GB2312" w:cs="仿宋_GB2312"/>
          <w:color w:val="222222"/>
          <w:sz w:val="32"/>
          <w:szCs w:val="32"/>
        </w:rPr>
        <w:t>再认证审核中发现的严重不符合项，认证机构应要求获证组织在规定时限内实施纠正与纠正措施，并在原认证证书到期前完成对纠正与纠正措施的验证。</w:t>
      </w:r>
    </w:p>
    <w:p w14:paraId="4BD5DF41">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 xml:space="preserve">3.8.5 </w:t>
      </w:r>
      <w:r>
        <w:rPr>
          <w:rFonts w:hint="eastAsia" w:eastAsia="仿宋_GB2312" w:cs="仿宋_GB2312"/>
          <w:color w:val="222222"/>
          <w:sz w:val="32"/>
          <w:szCs w:val="32"/>
        </w:rPr>
        <w:t>认证机构应按照本规则3.6条款要求做出再认证决定。获证组织继续满足认证要求并履行认证合同义务的，向其换发新认证证书。</w:t>
      </w:r>
    </w:p>
    <w:p w14:paraId="1AF3173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3.8.6如果在当前认证证书到期前完成了再认证活动并决定换发认证证书，新证书的终止日期可基于当前认证证书的终止日期确定。新证书上的颁证日期不应早于再认证决定日期。</w:t>
      </w:r>
    </w:p>
    <w:p w14:paraId="338F48E3">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3.8.7 如果在当前认证证书到期前，认证机构未能完成再认证审核或未能对严重不符合项实施的纠正和纠正措施进行验证，则不应批准再认证。</w:t>
      </w:r>
    </w:p>
    <w:p w14:paraId="066B9384">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3.8.8 在原证书到期后，如果认证机构能够在6个月内完成未尽的再认证活动，可维持再认证，否则应按照初次认证要求重新认证。再认证证书的生效日期不应早于再认证决定的日期，终止日期应基于原证书的终止日期。</w:t>
      </w:r>
    </w:p>
    <w:p w14:paraId="6D92AF05">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3.9 认证范围的变更</w:t>
      </w:r>
    </w:p>
    <w:p w14:paraId="2BEBF8DC">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3.9.1 获证组织拟变更认证范围时，应向认证机构提出申请，并按认证机构的要求提交相关材料。</w:t>
      </w:r>
    </w:p>
    <w:p w14:paraId="718C2B29">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3.9.2 认证机构应根据获证组织的申请进行评审，策划并实施适宜的审核活动，并按照本规则3.6条款的规定要求做出认证决定。</w:t>
      </w:r>
      <w:r>
        <w:rPr>
          <w:rFonts w:hint="eastAsia" w:eastAsia="仿宋_GB2312" w:cs="仿宋_GB2312"/>
          <w:sz w:val="32"/>
          <w:szCs w:val="32"/>
          <w:lang w:val="en-US" w:eastAsia="zh-CN"/>
        </w:rPr>
        <w:t>变更</w:t>
      </w:r>
      <w:r>
        <w:rPr>
          <w:rFonts w:hint="eastAsia" w:eastAsia="仿宋_GB2312" w:cs="仿宋_GB2312"/>
          <w:sz w:val="32"/>
          <w:szCs w:val="32"/>
        </w:rPr>
        <w:t>审核活动可单独进行，也可与获证组织的监督审核或再认证一起进行。</w:t>
      </w:r>
    </w:p>
    <w:p w14:paraId="78C8C1F0">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3.9.3 对于申请扩大认证范围的，应对获证组织的生产现场实施审核。</w:t>
      </w:r>
    </w:p>
    <w:p w14:paraId="596DD8B0">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3.10 不通知审核</w:t>
      </w:r>
    </w:p>
    <w:p w14:paraId="63DB08A0">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3.10.1认证机构应在初次认证审核后，每三年策划实施一次不通知审核。不通知审核可结合监督审核或再认证审核进行，并在审核报告中注明审核类型为不通知审核。</w:t>
      </w:r>
    </w:p>
    <w:p w14:paraId="50D5CB5D">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3.10.2认证机构应提前与获证组织确定无法实施不通知审核的时间段，以避免审核时获证组织因季节性生产、维修等原因没有生产现场的情形。</w:t>
      </w:r>
    </w:p>
    <w:p w14:paraId="4540AFB3">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3.10.3不通知审核可在审核前48小时内向获证组织提供审核计划，获证组织无正当理由不得拒绝审核。</w:t>
      </w:r>
    </w:p>
    <w:p w14:paraId="61F39416">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3.10.4如因安全或签证问题不能按计划实施不通知审核时，认证机构应进行风险评估并对评估结果进行记录。</w:t>
      </w:r>
    </w:p>
    <w:p w14:paraId="1F062CBF">
      <w:pPr>
        <w:adjustRightInd w:val="0"/>
        <w:snapToGrid w:val="0"/>
        <w:spacing w:line="594" w:lineRule="exact"/>
        <w:ind w:firstLine="628" w:firstLineChars="200"/>
        <w:rPr>
          <w:rFonts w:eastAsia="楷体_GB2312" w:cs="楷体_GB2312"/>
          <w:sz w:val="32"/>
          <w:szCs w:val="32"/>
        </w:rPr>
      </w:pPr>
      <w:r>
        <w:rPr>
          <w:rFonts w:hint="eastAsia" w:eastAsia="楷体_GB2312" w:cs="楷体_GB2312"/>
          <w:sz w:val="32"/>
          <w:szCs w:val="32"/>
        </w:rPr>
        <w:t>3.11认证要求变更</w:t>
      </w:r>
    </w:p>
    <w:p w14:paraId="411C3B49">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3.11.1 认证要求变更时，认证机构应将认证要求的变化以公开信息的方式告知获证组织，并对认证要求变更的转换安排做出规定。</w:t>
      </w:r>
    </w:p>
    <w:p w14:paraId="574E2B6E">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3.11.2 认证机构应采取适当方式对获证组织实施变更后认证要求的有效性进行验证，确认认证要求变更后获证组织证书的有效性，符合要求可继续使用认证证书。</w:t>
      </w:r>
    </w:p>
    <w:p w14:paraId="7C13B0D9">
      <w:pPr>
        <w:adjustRightInd w:val="0"/>
        <w:snapToGrid w:val="0"/>
        <w:spacing w:line="594" w:lineRule="exact"/>
        <w:ind w:firstLine="628" w:firstLineChars="200"/>
        <w:outlineLvl w:val="0"/>
        <w:rPr>
          <w:rFonts w:eastAsia="黑体" w:cs="黑体"/>
          <w:sz w:val="32"/>
          <w:szCs w:val="32"/>
        </w:rPr>
      </w:pPr>
      <w:r>
        <w:rPr>
          <w:rFonts w:hint="eastAsia" w:eastAsia="黑体" w:cs="黑体"/>
          <w:sz w:val="32"/>
          <w:szCs w:val="32"/>
        </w:rPr>
        <w:t>4. 认证证书</w:t>
      </w:r>
    </w:p>
    <w:p w14:paraId="5BE43A0F">
      <w:pPr>
        <w:spacing w:line="594" w:lineRule="exact"/>
        <w:ind w:firstLine="628" w:firstLineChars="200"/>
        <w:outlineLvl w:val="0"/>
        <w:rPr>
          <w:rFonts w:eastAsia="仿宋_GB2312" w:cs="仿宋_GB2312"/>
          <w:sz w:val="32"/>
          <w:szCs w:val="32"/>
        </w:rPr>
      </w:pPr>
      <w:r>
        <w:rPr>
          <w:rFonts w:hint="eastAsia" w:eastAsia="仿宋_GB2312" w:cs="仿宋_GB2312"/>
          <w:sz w:val="32"/>
          <w:szCs w:val="32"/>
        </w:rPr>
        <w:t>4.1初次认证的认证证书有效期为三年。再认证证书的终止日期不得超过上一认证周期认证证书的终止日期再加三年。认证证书应至少包括以下信息：</w:t>
      </w:r>
    </w:p>
    <w:p w14:paraId="4DDE1E56">
      <w:pPr>
        <w:tabs>
          <w:tab w:val="left" w:pos="0"/>
        </w:tabs>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color w:val="222222"/>
          <w:sz w:val="32"/>
          <w:szCs w:val="32"/>
        </w:rPr>
        <w:t>（1）获证组织名称、生产/服务场所的地址；</w:t>
      </w:r>
    </w:p>
    <w:p w14:paraId="3C3235A6">
      <w:pPr>
        <w:tabs>
          <w:tab w:val="left" w:pos="0"/>
        </w:tabs>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color w:val="222222"/>
          <w:sz w:val="32"/>
          <w:szCs w:val="32"/>
        </w:rPr>
        <w:t>（2）与活动、产品/服务类型等相关的认证范围，适用时，包括每个场所相应的认证范围，且没有误导或歧义；</w:t>
      </w:r>
    </w:p>
    <w:p w14:paraId="51979DA0">
      <w:pPr>
        <w:tabs>
          <w:tab w:val="left" w:pos="0"/>
        </w:tabs>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color w:val="222222"/>
          <w:sz w:val="32"/>
          <w:szCs w:val="32"/>
        </w:rPr>
        <w:t>（3）认证依据；</w:t>
      </w:r>
    </w:p>
    <w:p w14:paraId="34E3A622">
      <w:pPr>
        <w:tabs>
          <w:tab w:val="left" w:pos="0"/>
        </w:tabs>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color w:val="222222"/>
          <w:sz w:val="32"/>
          <w:szCs w:val="32"/>
        </w:rPr>
        <w:t>（4）证书编号。证书编号应从“中国食品农产品认证信息系统”中获取；</w:t>
      </w:r>
    </w:p>
    <w:p w14:paraId="0000A9A9">
      <w:pPr>
        <w:tabs>
          <w:tab w:val="left" w:pos="0"/>
        </w:tabs>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color w:val="222222"/>
          <w:sz w:val="32"/>
          <w:szCs w:val="32"/>
        </w:rPr>
        <w:t>（5）认证机构名称、地址；</w:t>
      </w:r>
    </w:p>
    <w:p w14:paraId="770A1587">
      <w:pPr>
        <w:tabs>
          <w:tab w:val="left" w:pos="0"/>
        </w:tabs>
        <w:adjustRightInd w:val="0"/>
        <w:snapToGrid w:val="0"/>
        <w:spacing w:line="594" w:lineRule="exact"/>
        <w:ind w:left="0" w:leftChars="0" w:firstLine="628" w:firstLineChars="200"/>
        <w:rPr>
          <w:rFonts w:eastAsia="仿宋_GB2312" w:cs="仿宋_GB2312"/>
          <w:color w:val="222222"/>
          <w:sz w:val="32"/>
          <w:szCs w:val="32"/>
        </w:rPr>
      </w:pPr>
      <w:r>
        <w:rPr>
          <w:rFonts w:hint="eastAsia" w:eastAsia="仿宋_GB2312" w:cs="仿宋_GB2312"/>
          <w:color w:val="222222"/>
          <w:sz w:val="32"/>
          <w:szCs w:val="32"/>
          <w:lang w:eastAsia="zh-CN"/>
        </w:rPr>
        <w:t>（</w:t>
      </w:r>
      <w:r>
        <w:rPr>
          <w:rFonts w:hint="eastAsia" w:eastAsia="仿宋_GB2312" w:cs="仿宋_GB2312"/>
          <w:color w:val="222222"/>
          <w:sz w:val="32"/>
          <w:szCs w:val="32"/>
          <w:lang w:val="en-US" w:eastAsia="zh-CN"/>
        </w:rPr>
        <w:t>6</w:t>
      </w:r>
      <w:r>
        <w:rPr>
          <w:rFonts w:hint="eastAsia" w:eastAsia="仿宋_GB2312" w:cs="仿宋_GB2312"/>
          <w:color w:val="222222"/>
          <w:sz w:val="32"/>
          <w:szCs w:val="32"/>
          <w:lang w:eastAsia="zh-CN"/>
        </w:rPr>
        <w:t>）</w:t>
      </w:r>
      <w:r>
        <w:rPr>
          <w:rFonts w:hint="eastAsia" w:eastAsia="仿宋_GB2312" w:cs="仿宋_GB2312"/>
          <w:color w:val="222222"/>
          <w:sz w:val="32"/>
          <w:szCs w:val="32"/>
        </w:rPr>
        <w:t>颁证日期和有效期；</w:t>
      </w:r>
    </w:p>
    <w:p w14:paraId="3335B5FF">
      <w:pPr>
        <w:tabs>
          <w:tab w:val="left" w:pos="0"/>
        </w:tabs>
        <w:adjustRightInd w:val="0"/>
        <w:snapToGrid w:val="0"/>
        <w:spacing w:line="594" w:lineRule="exact"/>
        <w:ind w:left="0" w:leftChars="0" w:firstLine="628" w:firstLineChars="200"/>
        <w:rPr>
          <w:rFonts w:eastAsia="仿宋_GB2312" w:cs="仿宋_GB2312"/>
          <w:color w:val="222222"/>
          <w:sz w:val="32"/>
          <w:szCs w:val="32"/>
        </w:rPr>
      </w:pPr>
      <w:r>
        <w:rPr>
          <w:rFonts w:hint="eastAsia" w:eastAsia="仿宋_GB2312" w:cs="仿宋_GB2312"/>
          <w:color w:val="222222"/>
          <w:sz w:val="32"/>
          <w:szCs w:val="32"/>
          <w:lang w:eastAsia="zh-CN"/>
        </w:rPr>
        <w:t>（</w:t>
      </w:r>
      <w:r>
        <w:rPr>
          <w:rFonts w:hint="eastAsia" w:eastAsia="仿宋_GB2312" w:cs="仿宋_GB2312"/>
          <w:color w:val="222222"/>
          <w:sz w:val="32"/>
          <w:szCs w:val="32"/>
          <w:lang w:val="en-US" w:eastAsia="zh-CN"/>
        </w:rPr>
        <w:t>7</w:t>
      </w:r>
      <w:r>
        <w:rPr>
          <w:rFonts w:hint="eastAsia" w:eastAsia="仿宋_GB2312" w:cs="仿宋_GB2312"/>
          <w:color w:val="222222"/>
          <w:sz w:val="32"/>
          <w:szCs w:val="32"/>
          <w:lang w:eastAsia="zh-CN"/>
        </w:rPr>
        <w:t>）</w:t>
      </w:r>
      <w:r>
        <w:rPr>
          <w:rFonts w:hint="eastAsia" w:eastAsia="仿宋_GB2312" w:cs="仿宋_GB2312"/>
          <w:color w:val="222222"/>
          <w:sz w:val="32"/>
          <w:szCs w:val="32"/>
        </w:rPr>
        <w:t>相关的认可标识及认可注册号（适用时）；</w:t>
      </w:r>
    </w:p>
    <w:p w14:paraId="453586E2">
      <w:pPr>
        <w:tabs>
          <w:tab w:val="left" w:pos="0"/>
        </w:tabs>
        <w:adjustRightInd w:val="0"/>
        <w:snapToGrid w:val="0"/>
        <w:spacing w:line="594" w:lineRule="exact"/>
        <w:ind w:left="204" w:leftChars="100"/>
        <w:rPr>
          <w:rFonts w:eastAsia="仿宋_GB2312" w:cs="仿宋_GB2312"/>
          <w:color w:val="222222"/>
          <w:sz w:val="32"/>
          <w:szCs w:val="32"/>
        </w:rPr>
      </w:pPr>
      <w:r>
        <w:rPr>
          <w:rFonts w:hint="eastAsia" w:eastAsia="仿宋_GB2312" w:cs="仿宋_GB2312"/>
          <w:color w:val="222222"/>
          <w:sz w:val="32"/>
          <w:szCs w:val="32"/>
        </w:rPr>
        <w:t xml:space="preserve">  （8）证书查询方式。</w:t>
      </w:r>
    </w:p>
    <w:p w14:paraId="495DBD53">
      <w:pPr>
        <w:tabs>
          <w:tab w:val="left" w:pos="0"/>
        </w:tabs>
        <w:adjustRightInd w:val="0"/>
        <w:snapToGrid w:val="0"/>
        <w:spacing w:line="594" w:lineRule="exact"/>
        <w:ind w:firstLine="628" w:firstLineChars="200"/>
        <w:rPr>
          <w:rFonts w:eastAsia="仿宋_GB2312" w:cs="仿宋_GB2312"/>
          <w:color w:val="222222"/>
          <w:sz w:val="32"/>
          <w:szCs w:val="32"/>
        </w:rPr>
      </w:pPr>
      <w:r>
        <w:rPr>
          <w:rFonts w:hint="eastAsia" w:eastAsia="仿宋_GB2312" w:cs="仿宋_GB2312"/>
          <w:color w:val="222222"/>
          <w:sz w:val="32"/>
          <w:szCs w:val="32"/>
        </w:rPr>
        <w:t>认证机构应确保“中国食品农产品认证信息系统”中对应的信息与证书内容保持一致。</w:t>
      </w:r>
    </w:p>
    <w:p w14:paraId="116DE7D7">
      <w:pPr>
        <w:adjustRightInd w:val="0"/>
        <w:snapToGrid w:val="0"/>
        <w:spacing w:line="594" w:lineRule="exact"/>
        <w:ind w:firstLine="628" w:firstLineChars="200"/>
        <w:outlineLvl w:val="0"/>
        <w:rPr>
          <w:rFonts w:eastAsia="楷体_GB2312" w:cs="楷体_GB2312"/>
          <w:b/>
          <w:bCs/>
          <w:color w:val="0000FF"/>
          <w:sz w:val="32"/>
          <w:szCs w:val="32"/>
        </w:rPr>
      </w:pPr>
      <w:r>
        <w:rPr>
          <w:rFonts w:hint="eastAsia" w:eastAsia="楷体_GB2312" w:cs="楷体_GB2312"/>
          <w:b/>
          <w:bCs/>
          <w:color w:val="0000FF"/>
          <w:sz w:val="32"/>
          <w:szCs w:val="32"/>
        </w:rPr>
        <w:t>4.2 认证证书的管理</w:t>
      </w:r>
    </w:p>
    <w:p w14:paraId="4C6BEB25">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认证机构应当对获证组织认证证书使用的情况进行有效管理。</w:t>
      </w:r>
    </w:p>
    <w:p w14:paraId="285E7C9E">
      <w:pPr>
        <w:adjustRightInd w:val="0"/>
        <w:snapToGrid w:val="0"/>
        <w:spacing w:line="594" w:lineRule="exact"/>
        <w:ind w:firstLine="628" w:firstLineChars="200"/>
        <w:outlineLvl w:val="0"/>
        <w:rPr>
          <w:rFonts w:eastAsia="仿宋_GB2312" w:cs="仿宋_GB2312"/>
          <w:b/>
          <w:bCs/>
          <w:color w:val="0000FF"/>
          <w:sz w:val="32"/>
          <w:szCs w:val="32"/>
        </w:rPr>
      </w:pPr>
      <w:r>
        <w:rPr>
          <w:rFonts w:hint="eastAsia" w:eastAsia="仿宋_GB2312" w:cs="仿宋_GB2312"/>
          <w:b/>
          <w:bCs/>
          <w:color w:val="0000FF"/>
          <w:sz w:val="32"/>
          <w:szCs w:val="32"/>
        </w:rPr>
        <w:t>4.2.1认证证书的暂停</w:t>
      </w:r>
    </w:p>
    <w:p w14:paraId="278AB8F7">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4.2.1.1有下列情形之一的，认证机构应当暂停其使用认证证书，暂停期限最长为六个月。在暂停期间，获证组织的HACCP认证暂时无效。</w:t>
      </w:r>
    </w:p>
    <w:p w14:paraId="463326E1">
      <w:pPr>
        <w:tabs>
          <w:tab w:val="left" w:pos="142"/>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（1）获证组织未按规定使用认证证书的；</w:t>
      </w:r>
    </w:p>
    <w:p w14:paraId="5C63C316">
      <w:pPr>
        <w:tabs>
          <w:tab w:val="left" w:pos="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（2）获证组织未履行认证合同义务</w:t>
      </w:r>
      <w:r>
        <w:rPr>
          <w:rFonts w:hint="eastAsia" w:eastAsia="仿宋_GB2312" w:cs="仿宋_GB2312"/>
          <w:b/>
          <w:bCs/>
          <w:color w:val="0000FF"/>
          <w:sz w:val="32"/>
          <w:szCs w:val="32"/>
        </w:rPr>
        <w:t>；</w:t>
      </w:r>
    </w:p>
    <w:p w14:paraId="2FEC1F9F">
      <w:pPr>
        <w:tabs>
          <w:tab w:val="left" w:pos="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（3）获证组织</w:t>
      </w:r>
      <w:r>
        <w:rPr>
          <w:rFonts w:hint="eastAsia" w:eastAsia="仿宋_GB2312" w:cs="仿宋_GB2312"/>
          <w:b/>
          <w:bCs/>
          <w:color w:val="0000FF"/>
          <w:sz w:val="32"/>
          <w:szCs w:val="32"/>
        </w:rPr>
        <w:t>发生食品安全事故；市场监管部门抽查发现影响食品安全的不合格等情况，尚不需立即撤销认证证书的；</w:t>
      </w:r>
    </w:p>
    <w:p w14:paraId="3889CCB7">
      <w:pPr>
        <w:tabs>
          <w:tab w:val="left" w:pos="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（4）获证组织HACCP体系不符合认证依据或相关产品不符合执行标准要求，不需要立即撤销认证证书的；</w:t>
      </w:r>
    </w:p>
    <w:p w14:paraId="755D1EEE">
      <w:pPr>
        <w:tabs>
          <w:tab w:val="left" w:pos="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（5）获证组织未能按规定间隔期接受监督审核的；</w:t>
      </w:r>
    </w:p>
    <w:p w14:paraId="2B2E0A2A">
      <w:pPr>
        <w:tabs>
          <w:tab w:val="left" w:pos="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（6）获证组织无正当理由连续两次不接受不通知现场审核的；</w:t>
      </w:r>
    </w:p>
    <w:p w14:paraId="4809D547">
      <w:pPr>
        <w:tabs>
          <w:tab w:val="left" w:pos="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（7）获证组织未按要求对信息进行通报的；</w:t>
      </w:r>
    </w:p>
    <w:p w14:paraId="3B124824">
      <w:pPr>
        <w:tabs>
          <w:tab w:val="left" w:pos="0"/>
          <w:tab w:val="left" w:pos="540"/>
          <w:tab w:val="left" w:pos="72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（8）获证组织与认证机构双方同意暂停认证资格的；</w:t>
      </w:r>
    </w:p>
    <w:p w14:paraId="45E84CB1">
      <w:pPr>
        <w:tabs>
          <w:tab w:val="left" w:pos="0"/>
          <w:tab w:val="left" w:pos="540"/>
          <w:tab w:val="left" w:pos="720"/>
        </w:tabs>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（9）其他情形应暂停认证证书的。</w:t>
      </w:r>
    </w:p>
    <w:p w14:paraId="731EBFAE">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4.2.1.2 在认证机构规定的时限内，如果被暂停认证资格的组织采取了有效的纠正措施，造成暂停的问题已解决，认证机构应当恢复被暂停的认证证书并保留相应证据。</w:t>
      </w:r>
    </w:p>
    <w:p w14:paraId="6EAACEEB">
      <w:pPr>
        <w:tabs>
          <w:tab w:val="left" w:pos="2340"/>
        </w:tabs>
        <w:adjustRightInd w:val="0"/>
        <w:snapToGrid w:val="0"/>
        <w:spacing w:line="594" w:lineRule="exact"/>
        <w:ind w:firstLine="628" w:firstLineChars="200"/>
        <w:outlineLvl w:val="9"/>
        <w:rPr>
          <w:rFonts w:hint="eastAsia" w:eastAsia="楷体_GB2312" w:cs="楷体_GB2312"/>
          <w:b/>
          <w:bCs/>
          <w:color w:val="0000FF"/>
          <w:sz w:val="32"/>
          <w:szCs w:val="32"/>
        </w:rPr>
      </w:pPr>
      <w:r>
        <w:rPr>
          <w:rFonts w:hint="eastAsia" w:eastAsia="楷体_GB2312" w:cs="楷体_GB2312"/>
          <w:b/>
          <w:bCs/>
          <w:color w:val="0000FF"/>
          <w:sz w:val="32"/>
          <w:szCs w:val="32"/>
        </w:rPr>
        <w:t>4.2.2  认证证书的撤销</w:t>
      </w:r>
    </w:p>
    <w:p w14:paraId="01DB4C73">
      <w:pPr>
        <w:adjustRightInd w:val="0"/>
        <w:snapToGrid w:val="0"/>
        <w:spacing w:line="594" w:lineRule="exact"/>
        <w:ind w:firstLine="625" w:firstLineChars="199"/>
        <w:rPr>
          <w:rFonts w:eastAsia="仿宋_GB2312" w:cs="仿宋_GB2312"/>
          <w:b/>
          <w:bCs/>
          <w:color w:val="0000FF"/>
          <w:sz w:val="32"/>
          <w:szCs w:val="32"/>
        </w:rPr>
      </w:pPr>
      <w:r>
        <w:rPr>
          <w:rFonts w:hint="eastAsia" w:eastAsia="仿宋_GB2312" w:cs="仿宋_GB2312"/>
          <w:b/>
          <w:bCs/>
          <w:color w:val="0000FF"/>
          <w:sz w:val="32"/>
          <w:szCs w:val="32"/>
        </w:rPr>
        <w:t>有下列情形之一的，认证机构应撤销其认证证书。</w:t>
      </w:r>
    </w:p>
    <w:p w14:paraId="3F16C87F">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（1）获证组织HACCP体系不符合认证依据或相关产品不符合执行标准要求，需要立即撤销认证证书的；</w:t>
      </w:r>
    </w:p>
    <w:p w14:paraId="388F5BF5">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（2）认证证书暂停期间，获证组织未采取有效纠正和纠正措施的；</w:t>
      </w:r>
    </w:p>
    <w:p w14:paraId="533B3B83">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（3）获证组织不再生产获证范围内产品的；</w:t>
      </w:r>
    </w:p>
    <w:p w14:paraId="3B54400E">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（4）获证组织出现严重食品安全卫生事故或对相关方重大投诉未能采取有效处理措施的；</w:t>
      </w:r>
      <w:bookmarkStart w:id="6" w:name="_GoBack"/>
      <w:bookmarkEnd w:id="6"/>
    </w:p>
    <w:p w14:paraId="530DB8B9">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（5）获证组织虚报、瞒报获证所需信息的；</w:t>
      </w:r>
    </w:p>
    <w:p w14:paraId="7D2271EB">
      <w:pPr>
        <w:adjustRightInd w:val="0"/>
        <w:snapToGrid w:val="0"/>
        <w:spacing w:line="594" w:lineRule="exact"/>
        <w:ind w:firstLine="628" w:firstLineChars="200"/>
        <w:rPr>
          <w:rFonts w:eastAsia="仿宋_GB2312" w:cs="仿宋_GB2312"/>
          <w:b/>
          <w:bCs/>
          <w:color w:val="0000FF"/>
          <w:sz w:val="32"/>
          <w:szCs w:val="32"/>
        </w:rPr>
      </w:pPr>
      <w:r>
        <w:rPr>
          <w:rFonts w:hint="eastAsia" w:eastAsia="仿宋_GB2312" w:cs="仿宋_GB2312"/>
          <w:b/>
          <w:bCs/>
          <w:color w:val="0000FF"/>
          <w:sz w:val="32"/>
          <w:szCs w:val="32"/>
        </w:rPr>
        <w:t>（6）获证组织不接受相关监管部门或认证机构对其实施监督的。</w:t>
      </w:r>
    </w:p>
    <w:p w14:paraId="0D63C7F1">
      <w:pPr>
        <w:adjustRightInd w:val="0"/>
        <w:snapToGrid w:val="0"/>
        <w:spacing w:line="594" w:lineRule="exact"/>
        <w:ind w:firstLine="628" w:firstLineChars="200"/>
        <w:rPr>
          <w:rFonts w:eastAsia="黑体" w:cs="黑体"/>
          <w:sz w:val="32"/>
          <w:szCs w:val="32"/>
        </w:rPr>
      </w:pPr>
      <w:r>
        <w:rPr>
          <w:rFonts w:hint="eastAsia" w:eastAsia="黑体" w:cs="黑体"/>
          <w:sz w:val="32"/>
          <w:szCs w:val="32"/>
        </w:rPr>
        <w:t>5. HACCP认证标志</w:t>
      </w:r>
    </w:p>
    <w:p w14:paraId="4457BBE7">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5.1认证机构和获证组织可在认证证书、印刷品、网站和其他宣传资料中使用HACCP认证标志（如图1所示）。使用HACCP认证标志可以等比例放大或缩小，但不应变形、变色。如其他文字或图像均为黑白，允许使用黑白标识。</w:t>
      </w:r>
    </w:p>
    <w:p w14:paraId="1D78CB7A">
      <w:pPr>
        <w:adjustRightInd w:val="0"/>
        <w:snapToGrid w:val="0"/>
        <w:spacing w:line="594" w:lineRule="exact"/>
        <w:ind w:firstLine="628" w:firstLineChars="200"/>
        <w:rPr>
          <w:rFonts w:eastAsia="仿宋_GB2312" w:cs="仿宋_GB2312"/>
          <w:sz w:val="32"/>
          <w:szCs w:val="32"/>
        </w:rPr>
      </w:pPr>
      <w:r>
        <w:rPr>
          <w:rFonts w:hint="eastAsia" w:eastAsia="仿宋_GB2312" w:cs="仿宋_GB2312"/>
          <w:sz w:val="32"/>
          <w:szCs w:val="32"/>
        </w:rPr>
        <w:t>5.2获证组织不得在产品、产品标签及产品内、外包装上使用HACCP认证标志。</w:t>
      </w:r>
    </w:p>
    <w:p w14:paraId="0698CBDE">
      <w:pPr>
        <w:widowControl/>
        <w:spacing w:line="594" w:lineRule="exact"/>
        <w:jc w:val="left"/>
        <w:rPr>
          <w:rFonts w:eastAsia="仿宋_GB2312" w:cs="仿宋_GB2312"/>
          <w:sz w:val="32"/>
          <w:szCs w:val="32"/>
        </w:rPr>
      </w:pPr>
      <w:r>
        <w:rPr>
          <w:rFonts w:eastAsia="仿宋_GB2312" w:cs="仿宋_GB2312"/>
          <w:sz w:val="32"/>
          <w:szCs w:val="32"/>
        </w:rPr>
        <w:br w:type="page"/>
      </w:r>
    </w:p>
    <w:p w14:paraId="6F2D900D">
      <w:pPr>
        <w:adjustRightInd w:val="0"/>
        <w:snapToGrid w:val="0"/>
        <w:spacing w:line="594" w:lineRule="exact"/>
        <w:rPr>
          <w:rFonts w:eastAsia="方正仿宋简体"/>
          <w:szCs w:val="21"/>
        </w:rPr>
      </w:pPr>
      <w:r>
        <w:rPr>
          <w:szCs w:val="21"/>
        </w:rPr>
        <w:drawing>
          <wp:anchor distT="0" distB="0" distL="114300" distR="114300" simplePos="0" relativeHeight="251659264" behindDoc="0" locked="0" layoutInCell="1" allowOverlap="1">
            <wp:simplePos x="0" y="0"/>
            <wp:positionH relativeFrom="column">
              <wp:posOffset>1466215</wp:posOffset>
            </wp:positionH>
            <wp:positionV relativeFrom="paragraph">
              <wp:posOffset>88265</wp:posOffset>
            </wp:positionV>
            <wp:extent cx="3124200" cy="3057525"/>
            <wp:effectExtent l="0" t="0" r="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cstate="print"/>
                    <a:stretch>
                      <a:fillRect/>
                    </a:stretch>
                  </pic:blipFill>
                  <pic:spPr>
                    <a:xfrm>
                      <a:off x="0" y="0"/>
                      <a:ext cx="3124200" cy="3057525"/>
                    </a:xfrm>
                    <a:prstGeom prst="rect">
                      <a:avLst/>
                    </a:prstGeom>
                    <a:noFill/>
                    <a:ln>
                      <a:noFill/>
                    </a:ln>
                  </pic:spPr>
                </pic:pic>
              </a:graphicData>
            </a:graphic>
          </wp:anchor>
        </w:drawing>
      </w:r>
    </w:p>
    <w:p w14:paraId="0FBBA317">
      <w:pPr>
        <w:adjustRightInd w:val="0"/>
        <w:snapToGrid w:val="0"/>
        <w:spacing w:line="594" w:lineRule="exact"/>
        <w:rPr>
          <w:rFonts w:eastAsia="方正仿宋简体"/>
          <w:szCs w:val="21"/>
        </w:rPr>
      </w:pPr>
    </w:p>
    <w:p w14:paraId="7B195B2F">
      <w:pPr>
        <w:adjustRightInd w:val="0"/>
        <w:snapToGrid w:val="0"/>
        <w:spacing w:line="594" w:lineRule="exact"/>
        <w:rPr>
          <w:rFonts w:eastAsia="方正仿宋简体"/>
          <w:szCs w:val="21"/>
        </w:rPr>
      </w:pPr>
    </w:p>
    <w:p w14:paraId="168DF23B">
      <w:pPr>
        <w:adjustRightInd w:val="0"/>
        <w:snapToGrid w:val="0"/>
        <w:spacing w:line="594" w:lineRule="exact"/>
        <w:rPr>
          <w:rFonts w:eastAsia="方正仿宋简体"/>
          <w:szCs w:val="21"/>
        </w:rPr>
      </w:pPr>
    </w:p>
    <w:p w14:paraId="3D3A2F00">
      <w:pPr>
        <w:adjustRightInd w:val="0"/>
        <w:snapToGrid w:val="0"/>
        <w:spacing w:line="594" w:lineRule="exact"/>
        <w:rPr>
          <w:rFonts w:eastAsia="方正仿宋简体"/>
          <w:szCs w:val="21"/>
        </w:rPr>
      </w:pPr>
    </w:p>
    <w:p w14:paraId="49D94460">
      <w:pPr>
        <w:adjustRightInd w:val="0"/>
        <w:snapToGrid w:val="0"/>
        <w:spacing w:line="594" w:lineRule="exact"/>
        <w:rPr>
          <w:rFonts w:eastAsia="方正仿宋简体"/>
          <w:szCs w:val="21"/>
        </w:rPr>
      </w:pPr>
    </w:p>
    <w:p w14:paraId="1748DEFE">
      <w:pPr>
        <w:adjustRightInd w:val="0"/>
        <w:snapToGrid w:val="0"/>
        <w:spacing w:line="594" w:lineRule="exact"/>
        <w:rPr>
          <w:rFonts w:eastAsia="方正仿宋简体"/>
          <w:szCs w:val="21"/>
        </w:rPr>
      </w:pPr>
    </w:p>
    <w:p w14:paraId="1D5FD90E">
      <w:pPr>
        <w:adjustRightInd w:val="0"/>
        <w:snapToGrid w:val="0"/>
        <w:spacing w:line="594" w:lineRule="exact"/>
        <w:rPr>
          <w:rFonts w:eastAsia="方正仿宋简体"/>
          <w:szCs w:val="21"/>
        </w:rPr>
      </w:pPr>
    </w:p>
    <w:p w14:paraId="2FAE8C46">
      <w:pPr>
        <w:adjustRightInd w:val="0"/>
        <w:snapToGrid w:val="0"/>
        <w:spacing w:line="594"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图</w:t>
      </w:r>
      <w:r>
        <w:rPr>
          <w:rFonts w:ascii="Times New Roman" w:hAnsi="Times New Roman" w:eastAsia="黑体" w:cs="仿宋_GB2312"/>
          <w:sz w:val="28"/>
          <w:szCs w:val="28"/>
        </w:rPr>
        <w:t>1  HACCP</w:t>
      </w:r>
      <w:r>
        <w:rPr>
          <w:rFonts w:hint="eastAsia" w:ascii="Times New Roman" w:hAnsi="Times New Roman" w:eastAsia="黑体" w:cs="仿宋_GB2312"/>
          <w:sz w:val="28"/>
          <w:szCs w:val="28"/>
        </w:rPr>
        <w:t>认证标志</w:t>
      </w:r>
    </w:p>
    <w:p w14:paraId="4901768F">
      <w:pPr>
        <w:adjustRightInd w:val="0"/>
        <w:snapToGrid w:val="0"/>
        <w:spacing w:line="594" w:lineRule="exact"/>
        <w:ind w:firstLine="628" w:firstLineChars="200"/>
        <w:rPr>
          <w:rFonts w:eastAsia="黑体" w:cs="黑体"/>
          <w:sz w:val="32"/>
          <w:szCs w:val="32"/>
        </w:rPr>
      </w:pPr>
      <w:r>
        <w:rPr>
          <w:rFonts w:hint="eastAsia" w:eastAsia="黑体" w:cs="黑体"/>
          <w:sz w:val="32"/>
          <w:szCs w:val="32"/>
        </w:rPr>
        <w:t>6.信息报告</w:t>
      </w:r>
    </w:p>
    <w:p w14:paraId="60F3572E">
      <w:pPr>
        <w:pStyle w:val="19"/>
        <w:adjustRightInd w:val="0"/>
        <w:snapToGrid w:val="0"/>
        <w:spacing w:line="594" w:lineRule="exact"/>
        <w:ind w:firstLine="616" w:firstLineChars="196"/>
        <w:rPr>
          <w:rFonts w:ascii="Times New Roman" w:hAnsi="Times New Roman" w:eastAsia="仿宋_GB2312" w:cs="仿宋_GB2312"/>
          <w:sz w:val="32"/>
          <w:szCs w:val="32"/>
        </w:rPr>
      </w:pPr>
      <w:r>
        <w:rPr>
          <w:rFonts w:hint="eastAsia" w:ascii="Times New Roman" w:hAnsi="Times New Roman" w:eastAsia="仿宋_GB2312" w:cs="仿宋_GB2312"/>
          <w:sz w:val="32"/>
          <w:szCs w:val="32"/>
        </w:rPr>
        <w:t>认证机构应按照要求及时将下列信息通报相关政府监管部门：</w:t>
      </w:r>
    </w:p>
    <w:p w14:paraId="54882AEC">
      <w:pPr>
        <w:pStyle w:val="19"/>
        <w:tabs>
          <w:tab w:val="left" w:pos="0"/>
        </w:tabs>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（1）认证机构应在现场审核前，至少提前5日将审核计划等信息向认监委网站“中国食品农产品认证信息系统”填报；</w:t>
      </w:r>
    </w:p>
    <w:p w14:paraId="60FA3B66">
      <w:pPr>
        <w:pStyle w:val="19"/>
        <w:tabs>
          <w:tab w:val="left" w:pos="0"/>
        </w:tabs>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（2）认证机构应按要求及时向认监委网站“中国食品农产品认证信息系统”填报认证活动信息（包括审核报告等）；</w:t>
      </w:r>
    </w:p>
    <w:p w14:paraId="7D6076FA">
      <w:pPr>
        <w:pStyle w:val="19"/>
        <w:tabs>
          <w:tab w:val="left" w:pos="0"/>
        </w:tabs>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（3）认证机构应在10日内将撤销、暂停认证证书的信息向认监委网站“中国食品农产品认证信息系统”填报；</w:t>
      </w:r>
    </w:p>
    <w:p w14:paraId="463730B1">
      <w:pPr>
        <w:pStyle w:val="19"/>
        <w:tabs>
          <w:tab w:val="left" w:pos="0"/>
        </w:tabs>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（4）认证机构在获知获证组织发生食品安全事故后，应及时将相关信息向认监委和获证组织所在地的省级市场监督管理部门通报；</w:t>
      </w:r>
    </w:p>
    <w:p w14:paraId="5EFE3BCA">
      <w:pPr>
        <w:pStyle w:val="19"/>
        <w:tabs>
          <w:tab w:val="left" w:pos="0"/>
        </w:tabs>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（5）认证机构应于每年3月底之前将上年度HACCP认证工作报告报送认监委，报告内容包括：颁证数量、获证组织质量分析、暂停和撤销认证证书清单及原因分析等。</w:t>
      </w:r>
    </w:p>
    <w:p w14:paraId="467B9F2A">
      <w:pPr>
        <w:pStyle w:val="19"/>
        <w:tabs>
          <w:tab w:val="left" w:pos="0"/>
          <w:tab w:val="left" w:pos="142"/>
        </w:tabs>
        <w:adjustRightInd w:val="0"/>
        <w:snapToGrid w:val="0"/>
        <w:spacing w:line="594" w:lineRule="exact"/>
        <w:rPr>
          <w:rFonts w:ascii="Times New Roman" w:hAnsi="Times New Roman" w:eastAsia="方正仿宋简体"/>
          <w:szCs w:val="21"/>
        </w:rPr>
      </w:pPr>
    </w:p>
    <w:p w14:paraId="3240B528">
      <w:pPr>
        <w:pStyle w:val="19"/>
        <w:tabs>
          <w:tab w:val="left" w:pos="0"/>
        </w:tabs>
        <w:adjustRightInd w:val="0"/>
        <w:snapToGrid w:val="0"/>
        <w:spacing w:line="594" w:lineRule="exact"/>
        <w:ind w:left="204" w:leftChars="100"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附件：1. </w:t>
      </w:r>
      <w:bookmarkStart w:id="2" w:name="_Hlk65755761"/>
      <w:r>
        <w:rPr>
          <w:rFonts w:hint="eastAsia" w:ascii="Times New Roman" w:hAnsi="Times New Roman" w:eastAsia="仿宋_GB2312" w:cs="仿宋_GB2312"/>
          <w:sz w:val="32"/>
          <w:szCs w:val="32"/>
        </w:rPr>
        <w:t>适用于HACCP认证的食品链产品/服务分类</w:t>
      </w:r>
      <w:bookmarkEnd w:id="2"/>
    </w:p>
    <w:p w14:paraId="409EAAC7">
      <w:pPr>
        <w:pStyle w:val="19"/>
        <w:numPr>
          <w:ilvl w:val="255"/>
          <w:numId w:val="0"/>
        </w:numPr>
        <w:tabs>
          <w:tab w:val="left" w:pos="0"/>
        </w:tabs>
        <w:adjustRightInd w:val="0"/>
        <w:snapToGrid w:val="0"/>
        <w:spacing w:line="594" w:lineRule="exact"/>
        <w:ind w:left="1769"/>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危害分析与关键控制点（</w:t>
      </w:r>
      <w:r>
        <w:rPr>
          <w:rFonts w:ascii="Times New Roman" w:hAnsi="Times New Roman" w:eastAsia="仿宋_GB2312" w:cs="仿宋_GB2312"/>
          <w:sz w:val="32"/>
          <w:szCs w:val="32"/>
        </w:rPr>
        <w:t>HACCP</w:t>
      </w:r>
      <w:r>
        <w:rPr>
          <w:rFonts w:hint="eastAsia" w:ascii="Times New Roman" w:hAnsi="Times New Roman" w:eastAsia="仿宋_GB2312" w:cs="仿宋_GB2312"/>
          <w:sz w:val="32"/>
          <w:szCs w:val="32"/>
        </w:rPr>
        <w:t>）体系认证要求（</w:t>
      </w:r>
      <w:r>
        <w:rPr>
          <w:rFonts w:ascii="Times New Roman" w:hAnsi="Times New Roman" w:eastAsia="仿宋_GB2312" w:cs="仿宋_GB2312"/>
          <w:sz w:val="32"/>
          <w:szCs w:val="32"/>
        </w:rPr>
        <w:t>V1.0</w:t>
      </w:r>
      <w:r>
        <w:rPr>
          <w:rFonts w:hint="eastAsia" w:ascii="Times New Roman" w:hAnsi="Times New Roman" w:eastAsia="仿宋_GB2312" w:cs="仿宋_GB2312"/>
          <w:sz w:val="32"/>
          <w:szCs w:val="32"/>
        </w:rPr>
        <w:t>）</w:t>
      </w:r>
    </w:p>
    <w:p w14:paraId="062D3BBF">
      <w:pPr>
        <w:pStyle w:val="19"/>
        <w:numPr>
          <w:ilvl w:val="255"/>
          <w:numId w:val="0"/>
        </w:numPr>
        <w:tabs>
          <w:tab w:val="left" w:pos="0"/>
        </w:tabs>
        <w:adjustRightInd w:val="0"/>
        <w:snapToGrid w:val="0"/>
        <w:spacing w:line="594" w:lineRule="exact"/>
        <w:ind w:left="1769"/>
        <w:rPr>
          <w:rFonts w:ascii="Times New Roman" w:hAnsi="Times New Roman" w:eastAsia="仿宋_GB2312" w:cs="仿宋_GB2312"/>
          <w:sz w:val="32"/>
          <w:szCs w:val="32"/>
        </w:rPr>
      </w:pPr>
      <w:r>
        <w:rPr>
          <w:rFonts w:hint="eastAsia" w:ascii="Times New Roman" w:hAnsi="Times New Roman" w:eastAsia="仿宋_GB2312" w:cs="仿宋_GB2312"/>
          <w:sz w:val="32"/>
          <w:szCs w:val="32"/>
        </w:rPr>
        <w:t>3. HACCP认证最少审核时间</w:t>
      </w:r>
      <w:r>
        <w:rPr>
          <w:rFonts w:hint="eastAsia" w:ascii="Times New Roman" w:hAnsi="Times New Roman" w:eastAsia="仿宋_GB2312" w:cs="仿宋_GB2312"/>
          <w:bCs/>
          <w:sz w:val="32"/>
          <w:szCs w:val="32"/>
        </w:rPr>
        <w:br w:type="page"/>
      </w:r>
    </w:p>
    <w:p w14:paraId="111351C9">
      <w:pPr>
        <w:adjustRightInd w:val="0"/>
        <w:snapToGrid w:val="0"/>
        <w:spacing w:after="240" w:line="594" w:lineRule="exact"/>
        <w:jc w:val="left"/>
        <w:rPr>
          <w:rFonts w:eastAsia="方正小标宋简体" w:cs="方正小标宋简体"/>
          <w:bCs/>
          <w:spacing w:val="20"/>
          <w:sz w:val="44"/>
          <w:szCs w:val="44"/>
        </w:rPr>
      </w:pPr>
      <w:r>
        <w:rPr>
          <w:rFonts w:hint="eastAsia" w:eastAsia="黑体" w:cs="黑体"/>
          <w:bCs/>
          <w:sz w:val="32"/>
          <w:szCs w:val="32"/>
        </w:rPr>
        <w:t>附件1</w:t>
      </w:r>
      <w:r>
        <w:rPr>
          <w:rFonts w:eastAsia="黑体" w:cs="黑体"/>
          <w:bCs/>
          <w:sz w:val="32"/>
          <w:szCs w:val="32"/>
        </w:rPr>
        <w:t xml:space="preserve"> </w:t>
      </w:r>
    </w:p>
    <w:p w14:paraId="16BEF497">
      <w:pPr>
        <w:spacing w:after="240" w:line="594" w:lineRule="exact"/>
        <w:ind w:firstLine="628" w:firstLineChars="200"/>
        <w:jc w:val="left"/>
        <w:rPr>
          <w:rFonts w:hint="eastAsia" w:eastAsia="仿宋_GB2312" w:cs="仿宋_GB2312"/>
          <w:bCs/>
          <w:sz w:val="32"/>
          <w:szCs w:val="32"/>
        </w:rPr>
      </w:pPr>
      <w:r>
        <w:rPr>
          <w:rFonts w:hint="eastAsia" w:eastAsia="仿宋_GB2312" w:cs="仿宋_GB2312"/>
          <w:bCs/>
          <w:sz w:val="32"/>
          <w:szCs w:val="32"/>
        </w:rPr>
        <w:t>适用于HACCP认证的食品链产品/服务分类</w:t>
      </w:r>
    </w:p>
    <w:p w14:paraId="7CD9FD46">
      <w:pPr>
        <w:spacing w:after="240" w:line="594" w:lineRule="exact"/>
        <w:ind w:firstLine="628" w:firstLineChars="200"/>
        <w:jc w:val="left"/>
        <w:rPr>
          <w:rFonts w:eastAsia="方正仿宋简体"/>
          <w:bCs/>
          <w:sz w:val="32"/>
          <w:szCs w:val="32"/>
        </w:rPr>
      </w:pPr>
      <w:r>
        <w:rPr>
          <w:rFonts w:hint="eastAsia" w:eastAsia="仿宋_GB2312" w:cs="仿宋_GB2312"/>
          <w:bCs/>
          <w:sz w:val="32"/>
          <w:szCs w:val="32"/>
        </w:rPr>
        <w:t>本附件</w:t>
      </w:r>
      <w:bookmarkStart w:id="3" w:name="_Hlk65755890"/>
      <w:r>
        <w:rPr>
          <w:rFonts w:hint="eastAsia" w:eastAsia="仿宋_GB2312" w:cs="仿宋_GB2312"/>
          <w:bCs/>
          <w:sz w:val="32"/>
          <w:szCs w:val="32"/>
        </w:rPr>
        <w:t>给出适用于HACCP认证的食品链产品/服务分类</w:t>
      </w:r>
      <w:bookmarkEnd w:id="3"/>
      <w:r>
        <w:rPr>
          <w:rFonts w:hint="eastAsia" w:eastAsia="仿宋_GB2312" w:cs="仿宋_GB2312"/>
          <w:bCs/>
          <w:sz w:val="32"/>
          <w:szCs w:val="32"/>
        </w:rPr>
        <w:t>，认证机构应根据表1.1开展以下活动：</w:t>
      </w:r>
      <w:r>
        <w:rPr>
          <w:rFonts w:eastAsia="方正仿宋简体"/>
          <w:bCs/>
          <w:sz w:val="32"/>
          <w:szCs w:val="32"/>
        </w:rPr>
        <w:t xml:space="preserve"> </w:t>
      </w:r>
    </w:p>
    <w:p w14:paraId="4566E89F">
      <w:pPr>
        <w:spacing w:after="240" w:line="594" w:lineRule="exact"/>
        <w:ind w:firstLine="628" w:firstLineChars="200"/>
        <w:jc w:val="left"/>
        <w:rPr>
          <w:rFonts w:eastAsia="仿宋_GB2312" w:cs="仿宋_GB2312"/>
          <w:bCs/>
          <w:sz w:val="32"/>
          <w:szCs w:val="32"/>
        </w:rPr>
      </w:pPr>
      <w:r>
        <w:rPr>
          <w:rFonts w:hint="eastAsia" w:eastAsia="仿宋_GB2312" w:cs="仿宋_GB2312"/>
          <w:bCs/>
          <w:sz w:val="32"/>
          <w:szCs w:val="32"/>
        </w:rPr>
        <w:t>1.基于行业（子行业）类别开展HACCP体系认证活动；</w:t>
      </w:r>
    </w:p>
    <w:p w14:paraId="27493E73">
      <w:pPr>
        <w:spacing w:after="240" w:line="594" w:lineRule="exact"/>
        <w:ind w:firstLine="628" w:firstLineChars="200"/>
        <w:jc w:val="left"/>
        <w:rPr>
          <w:rFonts w:eastAsia="仿宋_GB2312" w:cs="仿宋_GB2312"/>
          <w:bCs/>
          <w:sz w:val="32"/>
          <w:szCs w:val="32"/>
        </w:rPr>
      </w:pPr>
      <w:r>
        <w:rPr>
          <w:rFonts w:hint="eastAsia" w:eastAsia="仿宋_GB2312" w:cs="仿宋_GB2312"/>
          <w:bCs/>
          <w:sz w:val="32"/>
          <w:szCs w:val="32"/>
        </w:rPr>
        <w:t>2.基于产品/服务类别评价审核组专业能力；</w:t>
      </w:r>
    </w:p>
    <w:p w14:paraId="02ED0819">
      <w:pPr>
        <w:spacing w:after="240" w:line="594" w:lineRule="exact"/>
        <w:ind w:firstLine="628" w:firstLineChars="200"/>
        <w:jc w:val="left"/>
        <w:rPr>
          <w:rFonts w:eastAsia="仿宋_GB2312" w:cs="仿宋_GB2312"/>
          <w:bCs/>
          <w:sz w:val="32"/>
          <w:szCs w:val="32"/>
        </w:rPr>
      </w:pPr>
      <w:r>
        <w:rPr>
          <w:rFonts w:hint="eastAsia" w:eastAsia="仿宋_GB2312" w:cs="仿宋_GB2312"/>
          <w:bCs/>
          <w:sz w:val="32"/>
          <w:szCs w:val="32"/>
        </w:rPr>
        <w:t>3.基于产品/服务小类确定认证文件的范围；</w:t>
      </w:r>
    </w:p>
    <w:p w14:paraId="22E8640D">
      <w:pPr>
        <w:spacing w:after="240" w:line="594" w:lineRule="exact"/>
        <w:ind w:firstLine="628" w:firstLineChars="200"/>
        <w:jc w:val="left"/>
        <w:rPr>
          <w:rFonts w:eastAsia="仿宋_GB2312" w:cs="仿宋_GB2312"/>
          <w:bCs/>
          <w:sz w:val="32"/>
          <w:szCs w:val="32"/>
        </w:rPr>
      </w:pPr>
      <w:r>
        <w:rPr>
          <w:rFonts w:hint="eastAsia" w:eastAsia="仿宋_GB2312" w:cs="仿宋_GB2312"/>
          <w:bCs/>
          <w:sz w:val="32"/>
          <w:szCs w:val="32"/>
        </w:rPr>
        <w:t>4.策划审核方案时确定不同类型审核的覆盖范围；</w:t>
      </w:r>
    </w:p>
    <w:p w14:paraId="0BC06F49">
      <w:pPr>
        <w:spacing w:after="240" w:line="594" w:lineRule="exact"/>
        <w:ind w:firstLine="628" w:firstLineChars="200"/>
        <w:jc w:val="left"/>
        <w:rPr>
          <w:rFonts w:eastAsia="仿宋_GB2312" w:cs="仿宋_GB2312"/>
          <w:bCs/>
          <w:sz w:val="32"/>
          <w:szCs w:val="32"/>
        </w:rPr>
      </w:pPr>
      <w:r>
        <w:rPr>
          <w:rFonts w:hint="eastAsia" w:eastAsia="仿宋_GB2312" w:cs="仿宋_GB2312"/>
          <w:bCs/>
          <w:sz w:val="32"/>
          <w:szCs w:val="32"/>
        </w:rPr>
        <w:t>5.产品安全性验证至少应覆盖当次审核涉及的产品/服务小类；</w:t>
      </w:r>
    </w:p>
    <w:p w14:paraId="718B293C">
      <w:pPr>
        <w:spacing w:after="240" w:line="594" w:lineRule="exact"/>
        <w:ind w:firstLine="628" w:firstLineChars="200"/>
        <w:jc w:val="left"/>
        <w:rPr>
          <w:rFonts w:eastAsia="仿宋_GB2312" w:cs="仿宋_GB2312"/>
          <w:bCs/>
          <w:sz w:val="32"/>
          <w:szCs w:val="32"/>
        </w:rPr>
      </w:pPr>
      <w:r>
        <w:rPr>
          <w:rFonts w:eastAsia="仿宋_GB2312" w:cs="仿宋_GB2312"/>
          <w:bCs/>
          <w:sz w:val="32"/>
          <w:szCs w:val="32"/>
        </w:rPr>
        <w:t>6.</w:t>
      </w:r>
      <w:r>
        <w:rPr>
          <w:rFonts w:hint="eastAsia" w:eastAsia="仿宋_GB2312"/>
          <w:bCs/>
          <w:color w:val="000000" w:themeColor="text1"/>
          <w:sz w:val="32"/>
          <w:szCs w:val="21"/>
          <w14:textFill>
            <w14:solidFill>
              <w14:schemeClr w14:val="tx1"/>
            </w14:solidFill>
          </w14:textFill>
        </w:rPr>
        <w:t>适用时，认证机构可</w:t>
      </w:r>
      <w:r>
        <w:rPr>
          <w:rFonts w:hint="eastAsia" w:eastAsia="仿宋_GB2312"/>
          <w:bCs/>
          <w:color w:val="000000" w:themeColor="text1"/>
          <w:sz w:val="32"/>
          <w:szCs w:val="21"/>
          <w:highlight w:val="none"/>
          <w14:textFill>
            <w14:solidFill>
              <w14:schemeClr w14:val="tx1"/>
            </w14:solidFill>
          </w14:textFill>
        </w:rPr>
        <w:t>对</w:t>
      </w:r>
      <w:r>
        <w:rPr>
          <w:rFonts w:hint="eastAsia" w:eastAsia="仿宋_GB2312"/>
          <w:bCs/>
          <w:color w:val="000000" w:themeColor="text1"/>
          <w:sz w:val="32"/>
          <w:szCs w:val="21"/>
          <w14:textFill>
            <w14:solidFill>
              <w14:schemeClr w14:val="tx1"/>
            </w14:solidFill>
          </w14:textFill>
        </w:rPr>
        <w:t>产品</w:t>
      </w:r>
      <w:r>
        <w:rPr>
          <w:rFonts w:eastAsia="仿宋_GB2312"/>
          <w:bCs/>
          <w:color w:val="000000" w:themeColor="text1"/>
          <w:sz w:val="32"/>
          <w:szCs w:val="21"/>
          <w14:textFill>
            <w14:solidFill>
              <w14:schemeClr w14:val="tx1"/>
            </w14:solidFill>
          </w14:textFill>
        </w:rPr>
        <w:t>/</w:t>
      </w:r>
      <w:r>
        <w:rPr>
          <w:rFonts w:hint="eastAsia" w:eastAsia="仿宋_GB2312"/>
          <w:bCs/>
          <w:color w:val="000000" w:themeColor="text1"/>
          <w:sz w:val="32"/>
          <w:szCs w:val="21"/>
          <w14:textFill>
            <w14:solidFill>
              <w14:schemeClr w14:val="tx1"/>
            </w14:solidFill>
          </w14:textFill>
        </w:rPr>
        <w:t>服务小类的示例进一步细分。</w:t>
      </w:r>
    </w:p>
    <w:p w14:paraId="5A4BA6AA">
      <w:pPr>
        <w:spacing w:after="240" w:line="594" w:lineRule="exact"/>
        <w:jc w:val="center"/>
        <w:rPr>
          <w:rFonts w:eastAsia="仿宋_GB2312" w:cs="仿宋_GB2312"/>
          <w:bCs/>
          <w:sz w:val="32"/>
          <w:szCs w:val="32"/>
        </w:rPr>
      </w:pPr>
      <w:r>
        <w:rPr>
          <w:rFonts w:hint="eastAsia" w:eastAsia="仿宋_GB2312" w:cs="仿宋_GB2312"/>
          <w:bCs/>
          <w:sz w:val="32"/>
          <w:szCs w:val="32"/>
        </w:rPr>
        <w:t>表1.1  适用于HACCP认证的食品链产品/服务分类</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72"/>
        <w:gridCol w:w="2519"/>
        <w:gridCol w:w="4126"/>
      </w:tblGrid>
      <w:tr w14:paraId="45D3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877" w:type="dxa"/>
            <w:gridSpan w:val="2"/>
            <w:tcBorders>
              <w:bottom w:val="single" w:color="auto" w:sz="4" w:space="0"/>
            </w:tcBorders>
            <w:vAlign w:val="center"/>
          </w:tcPr>
          <w:p w14:paraId="36D91EFE">
            <w:pPr>
              <w:spacing w:line="594" w:lineRule="exact"/>
              <w:jc w:val="center"/>
              <w:rPr>
                <w:rFonts w:eastAsia="黑体" w:cs="黑体"/>
                <w:color w:val="000000" w:themeColor="text1"/>
                <w:sz w:val="28"/>
                <w:szCs w:val="28"/>
                <w14:textFill>
                  <w14:solidFill>
                    <w14:schemeClr w14:val="tx1"/>
                  </w14:solidFill>
                </w14:textFill>
              </w:rPr>
            </w:pPr>
            <w:r>
              <w:rPr>
                <w:rFonts w:hint="eastAsia" w:eastAsia="黑体" w:cs="黑体"/>
                <w:color w:val="000000" w:themeColor="text1"/>
                <w:sz w:val="28"/>
                <w:szCs w:val="28"/>
                <w14:textFill>
                  <w14:solidFill>
                    <w14:schemeClr w14:val="tx1"/>
                  </w14:solidFill>
                </w14:textFill>
              </w:rPr>
              <w:t>行业（子行业）类别</w:t>
            </w:r>
          </w:p>
        </w:tc>
        <w:tc>
          <w:tcPr>
            <w:tcW w:w="2519" w:type="dxa"/>
            <w:tcBorders>
              <w:bottom w:val="single" w:color="auto" w:sz="4" w:space="0"/>
            </w:tcBorders>
            <w:vAlign w:val="center"/>
          </w:tcPr>
          <w:p w14:paraId="22E62FBC">
            <w:pPr>
              <w:spacing w:line="594" w:lineRule="exact"/>
              <w:jc w:val="center"/>
              <w:rPr>
                <w:rFonts w:eastAsia="黑体" w:cs="黑体"/>
                <w:color w:val="000000" w:themeColor="text1"/>
                <w:sz w:val="28"/>
                <w:szCs w:val="28"/>
                <w14:textFill>
                  <w14:solidFill>
                    <w14:schemeClr w14:val="tx1"/>
                  </w14:solidFill>
                </w14:textFill>
              </w:rPr>
            </w:pPr>
            <w:r>
              <w:rPr>
                <w:rFonts w:hint="eastAsia" w:eastAsia="黑体" w:cs="黑体"/>
                <w:color w:val="000000" w:themeColor="text1"/>
                <w:sz w:val="28"/>
                <w:szCs w:val="28"/>
                <w14:textFill>
                  <w14:solidFill>
                    <w14:schemeClr w14:val="tx1"/>
                  </w14:solidFill>
                </w14:textFill>
              </w:rPr>
              <w:t>产品/服务类别</w:t>
            </w:r>
          </w:p>
        </w:tc>
        <w:tc>
          <w:tcPr>
            <w:tcW w:w="4126" w:type="dxa"/>
            <w:tcBorders>
              <w:bottom w:val="single" w:color="auto" w:sz="4" w:space="0"/>
            </w:tcBorders>
            <w:vAlign w:val="center"/>
          </w:tcPr>
          <w:p w14:paraId="5AF03ADB">
            <w:pPr>
              <w:spacing w:line="594" w:lineRule="exact"/>
              <w:jc w:val="center"/>
              <w:rPr>
                <w:rFonts w:eastAsia="黑体" w:cs="黑体"/>
                <w:color w:val="000000" w:themeColor="text1"/>
                <w:sz w:val="28"/>
                <w:szCs w:val="28"/>
                <w14:textFill>
                  <w14:solidFill>
                    <w14:schemeClr w14:val="tx1"/>
                  </w14:solidFill>
                </w14:textFill>
              </w:rPr>
            </w:pPr>
            <w:r>
              <w:rPr>
                <w:rFonts w:hint="eastAsia" w:eastAsia="黑体" w:cs="黑体"/>
                <w:color w:val="000000" w:themeColor="text1"/>
                <w:sz w:val="28"/>
                <w:szCs w:val="28"/>
                <w14:textFill>
                  <w14:solidFill>
                    <w14:schemeClr w14:val="tx1"/>
                  </w14:solidFill>
                </w14:textFill>
              </w:rPr>
              <w:t>产品/服务小类（示例）</w:t>
            </w:r>
          </w:p>
        </w:tc>
      </w:tr>
      <w:tr w14:paraId="7ABE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70BF26A1">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CI</w:t>
            </w:r>
          </w:p>
        </w:tc>
        <w:tc>
          <w:tcPr>
            <w:tcW w:w="1072" w:type="dxa"/>
            <w:vMerge w:val="restart"/>
            <w:vAlign w:val="center"/>
          </w:tcPr>
          <w:p w14:paraId="57D0A8F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易腐动物产品的加工</w:t>
            </w:r>
          </w:p>
        </w:tc>
        <w:tc>
          <w:tcPr>
            <w:tcW w:w="2519" w:type="dxa"/>
            <w:vMerge w:val="restart"/>
            <w:vAlign w:val="center"/>
          </w:tcPr>
          <w:p w14:paraId="41A708F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畜禽屠宰及肉制品加工</w:t>
            </w:r>
          </w:p>
        </w:tc>
        <w:tc>
          <w:tcPr>
            <w:tcW w:w="4126" w:type="dxa"/>
            <w:vAlign w:val="center"/>
          </w:tcPr>
          <w:p w14:paraId="0C54AF1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畜类屠宰及分割</w:t>
            </w:r>
          </w:p>
        </w:tc>
      </w:tr>
      <w:tr w14:paraId="7B5D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0ADC73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FC4681E">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2D012F4">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C56559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禽类屠宰及分割</w:t>
            </w:r>
          </w:p>
        </w:tc>
      </w:tr>
      <w:tr w14:paraId="6165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E5DD42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F002FB8">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4F7891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B09B9D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热加工熟肉制品的加工</w:t>
            </w:r>
          </w:p>
        </w:tc>
      </w:tr>
      <w:tr w14:paraId="22AE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783CAAB">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BE1CD9D">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2373F5B">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FCD059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发酵肉制品的加工</w:t>
            </w:r>
          </w:p>
        </w:tc>
      </w:tr>
      <w:tr w14:paraId="7D8F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3616059">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A6154C6">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25CCC7B">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83B907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冷藏/冷冻预制调理肉制品的加工</w:t>
            </w:r>
          </w:p>
        </w:tc>
      </w:tr>
      <w:tr w14:paraId="5BF7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B2AD8F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22CA0B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069816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6F55BD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腌腊肉制品的加工</w:t>
            </w:r>
          </w:p>
        </w:tc>
      </w:tr>
      <w:tr w14:paraId="09DC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29C913B">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AFACB77">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37CF4F7">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8D1280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肠衣的加工</w:t>
            </w:r>
          </w:p>
        </w:tc>
      </w:tr>
      <w:tr w14:paraId="4BDC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10ACC9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FE7F57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2DE574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FE6CBE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w:t>
            </w:r>
          </w:p>
        </w:tc>
      </w:tr>
      <w:tr w14:paraId="0107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456D81F">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3073AE9">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4D6BEBC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蛋及蛋制品加工</w:t>
            </w:r>
          </w:p>
        </w:tc>
        <w:tc>
          <w:tcPr>
            <w:tcW w:w="4126" w:type="dxa"/>
            <w:vAlign w:val="center"/>
          </w:tcPr>
          <w:p w14:paraId="173B2F2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再制蛋类的加工</w:t>
            </w:r>
          </w:p>
        </w:tc>
      </w:tr>
      <w:tr w14:paraId="19D6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E8F7D42">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9CD326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DC94B5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9B8BE2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干蛋类的加工</w:t>
            </w:r>
          </w:p>
        </w:tc>
      </w:tr>
      <w:tr w14:paraId="22B2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E4C0D0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C5F515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85C55A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7F9D847">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冰蛋类的加工</w:t>
            </w:r>
          </w:p>
        </w:tc>
      </w:tr>
      <w:tr w14:paraId="1DD1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5CDF38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9B6C3EA">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02F20C5">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9A8A72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w:t>
            </w:r>
          </w:p>
        </w:tc>
      </w:tr>
      <w:tr w14:paraId="3A3D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9066FA2">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80C51A4">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3CA444E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乳及乳制品加工</w:t>
            </w:r>
          </w:p>
        </w:tc>
        <w:tc>
          <w:tcPr>
            <w:tcW w:w="4126" w:type="dxa"/>
            <w:vAlign w:val="center"/>
          </w:tcPr>
          <w:p w14:paraId="64228FB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液体乳的加工</w:t>
            </w:r>
          </w:p>
        </w:tc>
      </w:tr>
      <w:tr w14:paraId="09CD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4D2742C">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193BFC2">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59671C3">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68B3CB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乳粉的加工</w:t>
            </w:r>
          </w:p>
        </w:tc>
      </w:tr>
      <w:tr w14:paraId="4569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E903BF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6BAB57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0584CD9">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9DD67DF">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 xml:space="preserve">其他乳制品的加工 </w:t>
            </w:r>
          </w:p>
        </w:tc>
      </w:tr>
      <w:tr w14:paraId="07F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844B3E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D56CAB9">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0B207F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13FA9A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婴幼儿配方乳粉的加工</w:t>
            </w:r>
          </w:p>
        </w:tc>
      </w:tr>
      <w:tr w14:paraId="5C3A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463CFFE">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4AB1D9D">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14261CF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水产品加工</w:t>
            </w:r>
          </w:p>
        </w:tc>
        <w:tc>
          <w:tcPr>
            <w:tcW w:w="4126" w:type="dxa"/>
            <w:vAlign w:val="center"/>
          </w:tcPr>
          <w:p w14:paraId="01164A9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水产品冰鲜/冷冻加工</w:t>
            </w:r>
          </w:p>
        </w:tc>
      </w:tr>
      <w:tr w14:paraId="0367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9A5560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AFD6941">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56B6CC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B48C3F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水产品干制加工</w:t>
            </w:r>
          </w:p>
        </w:tc>
      </w:tr>
      <w:tr w14:paraId="0BA1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B3C4125">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A6DD5F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7DCD65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ACD121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水产品腌制加工</w:t>
            </w:r>
          </w:p>
        </w:tc>
      </w:tr>
      <w:tr w14:paraId="0C61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CF7209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3E26E33">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1F66BD9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47F276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鱼糜及鱼糜制品的加工</w:t>
            </w:r>
          </w:p>
        </w:tc>
      </w:tr>
      <w:tr w14:paraId="3846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83A338F">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2E0A40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10AA973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FE85E6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熟制水产品</w:t>
            </w:r>
          </w:p>
        </w:tc>
      </w:tr>
      <w:tr w14:paraId="4C60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688F011">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C91D97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E50C1B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41D6EE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水生动物油脂及制品的加工</w:t>
            </w:r>
          </w:p>
        </w:tc>
      </w:tr>
      <w:tr w14:paraId="36BA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7DD6BFB">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38DD49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90FB9F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C8F0E9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其它水产品的加工</w:t>
            </w:r>
          </w:p>
        </w:tc>
      </w:tr>
      <w:tr w14:paraId="6B3A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12E7FB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65784DE">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4ACE21D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蜂产品的加工</w:t>
            </w:r>
          </w:p>
        </w:tc>
        <w:tc>
          <w:tcPr>
            <w:tcW w:w="4126" w:type="dxa"/>
            <w:vAlign w:val="center"/>
          </w:tcPr>
          <w:p w14:paraId="2D6BA34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蜂蜜的加工</w:t>
            </w:r>
          </w:p>
        </w:tc>
      </w:tr>
      <w:tr w14:paraId="705B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124FC5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CA4EE1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02BD8E0">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DB6F1F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蜂王浆的加工</w:t>
            </w:r>
          </w:p>
        </w:tc>
      </w:tr>
      <w:tr w14:paraId="1051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C82DA2B">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1C5B3A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F864C8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5634B9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蜂花粉的加工</w:t>
            </w:r>
          </w:p>
        </w:tc>
      </w:tr>
      <w:tr w14:paraId="07B2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8572FFE">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4FD84D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0968E39">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18090D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蜂产品制品的加工</w:t>
            </w:r>
          </w:p>
        </w:tc>
      </w:tr>
      <w:tr w14:paraId="1F42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6C76FC83">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CII</w:t>
            </w:r>
          </w:p>
        </w:tc>
        <w:tc>
          <w:tcPr>
            <w:tcW w:w="1072" w:type="dxa"/>
            <w:vMerge w:val="restart"/>
            <w:vAlign w:val="center"/>
          </w:tcPr>
          <w:p w14:paraId="5DDBD95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易腐植物产品的加工</w:t>
            </w:r>
          </w:p>
        </w:tc>
        <w:tc>
          <w:tcPr>
            <w:tcW w:w="2519" w:type="dxa"/>
            <w:vMerge w:val="restart"/>
            <w:vAlign w:val="center"/>
          </w:tcPr>
          <w:p w14:paraId="7C317A2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果蔬类产品（含食用菌）的加工</w:t>
            </w:r>
          </w:p>
        </w:tc>
        <w:tc>
          <w:tcPr>
            <w:tcW w:w="4126" w:type="dxa"/>
            <w:vAlign w:val="center"/>
          </w:tcPr>
          <w:p w14:paraId="73B867B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水果蔬菜速冻加工</w:t>
            </w:r>
          </w:p>
        </w:tc>
      </w:tr>
      <w:tr w14:paraId="534D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BE249BF">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7C32B64">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620FCC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13DC91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水果蔬菜干制加工</w:t>
            </w:r>
          </w:p>
        </w:tc>
      </w:tr>
      <w:tr w14:paraId="7BA5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8E373A9">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F5793ED">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258D2E2">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B319C1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水果蔬菜腌制的加工</w:t>
            </w:r>
          </w:p>
        </w:tc>
      </w:tr>
      <w:tr w14:paraId="2204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309B4B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DAFA120">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1734CFC">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E7E193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果酱的加工</w:t>
            </w:r>
          </w:p>
        </w:tc>
      </w:tr>
      <w:tr w14:paraId="7948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DEF237E">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9AD4F45">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9862422">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6A4377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水果蔬菜的保鲜</w:t>
            </w:r>
          </w:p>
        </w:tc>
      </w:tr>
      <w:tr w14:paraId="64DB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F5D1B5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F429DA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2EFDE3C">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4145A3F">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其他果蔬的加工</w:t>
            </w:r>
          </w:p>
        </w:tc>
      </w:tr>
      <w:tr w14:paraId="79A0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42CF52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F1AEF56">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1C81733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豆制品的加工</w:t>
            </w:r>
          </w:p>
        </w:tc>
        <w:tc>
          <w:tcPr>
            <w:tcW w:w="4126" w:type="dxa"/>
            <w:vAlign w:val="center"/>
          </w:tcPr>
          <w:p w14:paraId="2DDEDC8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发酵性豆制品加工</w:t>
            </w:r>
          </w:p>
        </w:tc>
      </w:tr>
      <w:tr w14:paraId="74A2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236BB5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1FAE82D">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05DB764">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1248BF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非发酵性豆制品的加工</w:t>
            </w:r>
          </w:p>
        </w:tc>
      </w:tr>
      <w:tr w14:paraId="5E2E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5A5A451">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17655F9">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36F6470">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ED9B62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其他豆制品的加工</w:t>
            </w:r>
          </w:p>
        </w:tc>
      </w:tr>
      <w:tr w14:paraId="4F27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497C63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7C9C416">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4D774A9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其它易腐烂的植物产品的加工</w:t>
            </w:r>
          </w:p>
        </w:tc>
        <w:tc>
          <w:tcPr>
            <w:tcW w:w="4126" w:type="dxa"/>
            <w:vAlign w:val="center"/>
          </w:tcPr>
          <w:p w14:paraId="4F4B6D4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其它易腐烂的植物产品的加工</w:t>
            </w:r>
          </w:p>
        </w:tc>
      </w:tr>
      <w:tr w14:paraId="1EDC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59EE5463">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CIII</w:t>
            </w:r>
          </w:p>
        </w:tc>
        <w:tc>
          <w:tcPr>
            <w:tcW w:w="1072" w:type="dxa"/>
            <w:vMerge w:val="restart"/>
            <w:vAlign w:val="center"/>
          </w:tcPr>
          <w:p w14:paraId="518B527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易腐动植物混合产品的加工</w:t>
            </w:r>
          </w:p>
        </w:tc>
        <w:tc>
          <w:tcPr>
            <w:tcW w:w="2519" w:type="dxa"/>
            <w:vMerge w:val="restart"/>
            <w:vAlign w:val="center"/>
          </w:tcPr>
          <w:p w14:paraId="0AC865D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速冻方便食品的加工</w:t>
            </w:r>
          </w:p>
        </w:tc>
        <w:tc>
          <w:tcPr>
            <w:tcW w:w="4126" w:type="dxa"/>
            <w:vAlign w:val="center"/>
          </w:tcPr>
          <w:p w14:paraId="4FADBA3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生制/熟制速冻面米制品的加工</w:t>
            </w:r>
          </w:p>
        </w:tc>
      </w:tr>
      <w:tr w14:paraId="2A15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3B56C1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5F33DFE">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D7BC363">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4AE5CB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生制/熟制速冻调制食品的加工</w:t>
            </w:r>
          </w:p>
        </w:tc>
      </w:tr>
      <w:tr w14:paraId="26C6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FFA10C2">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7139BA4">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25328C4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其它易腐烂的混合类产品的加工</w:t>
            </w:r>
          </w:p>
        </w:tc>
        <w:tc>
          <w:tcPr>
            <w:tcW w:w="4126" w:type="dxa"/>
            <w:vAlign w:val="center"/>
          </w:tcPr>
          <w:p w14:paraId="1A3DE6C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其它易腐烂的混合类产品的加工</w:t>
            </w:r>
          </w:p>
        </w:tc>
      </w:tr>
      <w:tr w14:paraId="3EEE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8B17B22">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FE4C144">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41ACCB6F">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冷冻饮品的加工</w:t>
            </w:r>
          </w:p>
        </w:tc>
        <w:tc>
          <w:tcPr>
            <w:tcW w:w="4126" w:type="dxa"/>
            <w:vAlign w:val="center"/>
          </w:tcPr>
          <w:p w14:paraId="32AA4BD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冷冻饮品的加工</w:t>
            </w:r>
          </w:p>
        </w:tc>
      </w:tr>
      <w:tr w14:paraId="06EF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170517B2">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CIV</w:t>
            </w:r>
          </w:p>
        </w:tc>
        <w:tc>
          <w:tcPr>
            <w:tcW w:w="1072" w:type="dxa"/>
            <w:vMerge w:val="restart"/>
            <w:vAlign w:val="center"/>
          </w:tcPr>
          <w:p w14:paraId="00157BF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常温产品的加工</w:t>
            </w:r>
          </w:p>
        </w:tc>
        <w:tc>
          <w:tcPr>
            <w:tcW w:w="2519" w:type="dxa"/>
            <w:vMerge w:val="restart"/>
            <w:vAlign w:val="center"/>
          </w:tcPr>
          <w:p w14:paraId="7B49481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粮食加工</w:t>
            </w:r>
          </w:p>
        </w:tc>
        <w:tc>
          <w:tcPr>
            <w:tcW w:w="4126" w:type="dxa"/>
            <w:vAlign w:val="center"/>
          </w:tcPr>
          <w:p w14:paraId="4DBD806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大米的加工</w:t>
            </w:r>
          </w:p>
        </w:tc>
      </w:tr>
      <w:tr w14:paraId="5E4A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693A3C2">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3BAFC30">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EE06ED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D41B53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小麦粉的加工</w:t>
            </w:r>
          </w:p>
        </w:tc>
      </w:tr>
      <w:tr w14:paraId="7F82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7FD2A2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4C15231">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35CD6D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DB0E73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粮食类制品的加工</w:t>
            </w:r>
          </w:p>
        </w:tc>
      </w:tr>
      <w:tr w14:paraId="6C9A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9CBB289">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70062E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FD9EF52">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5B980E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其他粮食的加工</w:t>
            </w:r>
          </w:p>
        </w:tc>
      </w:tr>
      <w:tr w14:paraId="7779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A76A4D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6068D0E">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51A8384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淀粉及淀粉制品的加工</w:t>
            </w:r>
          </w:p>
        </w:tc>
        <w:tc>
          <w:tcPr>
            <w:tcW w:w="4126" w:type="dxa"/>
            <w:vAlign w:val="center"/>
          </w:tcPr>
          <w:p w14:paraId="1205EC97">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淀粉的加工</w:t>
            </w:r>
          </w:p>
        </w:tc>
      </w:tr>
      <w:tr w14:paraId="57D7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2C65B3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A83CA37">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578EE69">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138AE8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淀粉制品的加工</w:t>
            </w:r>
          </w:p>
        </w:tc>
      </w:tr>
      <w:tr w14:paraId="2C4B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50613E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CFD215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8D02A0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39DAF8F">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淀粉糖的加工</w:t>
            </w:r>
          </w:p>
        </w:tc>
      </w:tr>
      <w:tr w14:paraId="4571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F08B1D4">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1D23586">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1824FE7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炒货及坚果制品的加工</w:t>
            </w:r>
          </w:p>
        </w:tc>
        <w:tc>
          <w:tcPr>
            <w:tcW w:w="4126" w:type="dxa"/>
            <w:vAlign w:val="center"/>
          </w:tcPr>
          <w:p w14:paraId="5ABABFD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烘炒类炒货及坚果制品的加工</w:t>
            </w:r>
          </w:p>
        </w:tc>
      </w:tr>
      <w:tr w14:paraId="5E50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D93DAB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31A5E21">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C1F44E6">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4E8B327">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油炸类炒货及坚果制品的加工</w:t>
            </w:r>
          </w:p>
        </w:tc>
      </w:tr>
      <w:tr w14:paraId="534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A1AC021">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66CE19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5F5389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B457C2F">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其他类炒货及坚果制品的加工</w:t>
            </w:r>
          </w:p>
        </w:tc>
      </w:tr>
      <w:tr w14:paraId="6768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E6F4E42">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1FAAA15">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262D790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罐头的加工</w:t>
            </w:r>
          </w:p>
        </w:tc>
        <w:tc>
          <w:tcPr>
            <w:tcW w:w="4126" w:type="dxa"/>
            <w:vAlign w:val="center"/>
          </w:tcPr>
          <w:p w14:paraId="2EC2DE3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畜禽水产罐头的加工</w:t>
            </w:r>
          </w:p>
        </w:tc>
      </w:tr>
      <w:tr w14:paraId="1F28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88F4609">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FD57F74">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98CF76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B46339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果蔬罐头的加工</w:t>
            </w:r>
          </w:p>
        </w:tc>
      </w:tr>
      <w:tr w14:paraId="2226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D4256F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E5580B4">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D09F237">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4A916B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其他罐头的加工</w:t>
            </w:r>
          </w:p>
        </w:tc>
      </w:tr>
      <w:tr w14:paraId="11C9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268A33E">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F093F35">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0B5CFCC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饮用水、饮料的加工</w:t>
            </w:r>
          </w:p>
        </w:tc>
        <w:tc>
          <w:tcPr>
            <w:tcW w:w="4126" w:type="dxa"/>
            <w:vAlign w:val="center"/>
          </w:tcPr>
          <w:p w14:paraId="51878BC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包装饮用水的加工</w:t>
            </w:r>
          </w:p>
        </w:tc>
      </w:tr>
      <w:tr w14:paraId="33F3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1C6BBF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55A5E63">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DD6FE2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A48BA1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碳酸饮料的加工</w:t>
            </w:r>
          </w:p>
        </w:tc>
      </w:tr>
      <w:tr w14:paraId="08EB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D6E85A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DF97809">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AAA4601">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BCCE62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果蔬汁及果蔬汁饮料的加工（包括果蔬汁（浆）、浓缩果蔬汁（浆）、果蔬汁（浆）饮料等）</w:t>
            </w:r>
          </w:p>
        </w:tc>
      </w:tr>
      <w:tr w14:paraId="00A7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8A7B24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00F8503">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F531DD1">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9DC865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蛋白饮料的加工</w:t>
            </w:r>
          </w:p>
        </w:tc>
      </w:tr>
      <w:tr w14:paraId="20D4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9B02B2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5F88EB5">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2EF1A82">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768879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茶类饮料的加工</w:t>
            </w:r>
          </w:p>
        </w:tc>
      </w:tr>
      <w:tr w14:paraId="369C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0A85AB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41D1B46">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2620A4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3894DB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固体饮料的加工</w:t>
            </w:r>
          </w:p>
        </w:tc>
      </w:tr>
      <w:tr w14:paraId="5FCF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8BD40A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E2E04E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tcBorders>
              <w:bottom w:val="single" w:color="auto" w:sz="4" w:space="0"/>
            </w:tcBorders>
            <w:vAlign w:val="center"/>
          </w:tcPr>
          <w:p w14:paraId="7D3865B2">
            <w:pPr>
              <w:spacing w:line="594" w:lineRule="exact"/>
              <w:rPr>
                <w:rFonts w:eastAsia="仿宋_GB2312"/>
                <w:bCs/>
                <w:color w:val="000000" w:themeColor="text1"/>
                <w:sz w:val="28"/>
                <w:szCs w:val="21"/>
                <w14:textFill>
                  <w14:solidFill>
                    <w14:schemeClr w14:val="tx1"/>
                  </w14:solidFill>
                </w14:textFill>
              </w:rPr>
            </w:pPr>
          </w:p>
        </w:tc>
        <w:tc>
          <w:tcPr>
            <w:tcW w:w="4126" w:type="dxa"/>
            <w:tcBorders>
              <w:bottom w:val="single" w:color="auto" w:sz="4" w:space="0"/>
            </w:tcBorders>
            <w:vAlign w:val="center"/>
          </w:tcPr>
          <w:p w14:paraId="7B143CE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其他饮料的加工</w:t>
            </w:r>
          </w:p>
        </w:tc>
      </w:tr>
      <w:tr w14:paraId="7FC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51809F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7E597E3">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555A60C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酒精、酒的加工</w:t>
            </w:r>
          </w:p>
        </w:tc>
        <w:tc>
          <w:tcPr>
            <w:tcW w:w="4126" w:type="dxa"/>
            <w:vAlign w:val="center"/>
          </w:tcPr>
          <w:p w14:paraId="0D61252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食用酒精的加工</w:t>
            </w:r>
          </w:p>
        </w:tc>
      </w:tr>
      <w:tr w14:paraId="341A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1D28DB4">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958D041">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E1E0AD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F3E528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白酒的加工</w:t>
            </w:r>
          </w:p>
        </w:tc>
      </w:tr>
      <w:tr w14:paraId="4689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5830E5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7F926E2">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D338946">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A7FAD5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啤酒的加工</w:t>
            </w:r>
          </w:p>
        </w:tc>
      </w:tr>
      <w:tr w14:paraId="0169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C21A23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56E163E">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F4534FB">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D426AB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葡萄酒及果酒的加工</w:t>
            </w:r>
          </w:p>
        </w:tc>
      </w:tr>
      <w:tr w14:paraId="61F3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A11EA15">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1702A93">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5FF7D89">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B238F3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黄酒的加工</w:t>
            </w:r>
          </w:p>
        </w:tc>
      </w:tr>
      <w:tr w14:paraId="2AD7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C074B5E">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7E86218">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AABB1A7">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56F317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其他酒的加工</w:t>
            </w:r>
          </w:p>
        </w:tc>
      </w:tr>
      <w:tr w14:paraId="56F4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EC32E71">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40478AE">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349CC4F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糕点类食品的加工</w:t>
            </w:r>
          </w:p>
        </w:tc>
        <w:tc>
          <w:tcPr>
            <w:tcW w:w="4126" w:type="dxa"/>
            <w:vAlign w:val="center"/>
          </w:tcPr>
          <w:p w14:paraId="03D985C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面包的加工</w:t>
            </w:r>
          </w:p>
        </w:tc>
      </w:tr>
      <w:tr w14:paraId="6971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040AE4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179B0BE">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4AC1574">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3C2456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饼干的加工</w:t>
            </w:r>
          </w:p>
        </w:tc>
      </w:tr>
      <w:tr w14:paraId="7673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A601F4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8F7B71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FB6CA6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87856F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烘烤类糕点的加工</w:t>
            </w:r>
          </w:p>
        </w:tc>
      </w:tr>
      <w:tr w14:paraId="3FE0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65AF8E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EBEFE87">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5D5552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990C6C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油炸类糕点的加工</w:t>
            </w:r>
          </w:p>
        </w:tc>
      </w:tr>
      <w:tr w14:paraId="1D7D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927AEA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44AFADE">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50F788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A75E1D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蒸煮类糕点的加工</w:t>
            </w:r>
          </w:p>
        </w:tc>
      </w:tr>
      <w:tr w14:paraId="386F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DE4328B">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0506E50">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12549221">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DE7CFF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冷加工糕点的加工</w:t>
            </w:r>
          </w:p>
        </w:tc>
      </w:tr>
      <w:tr w14:paraId="5B48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1C4B70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BDFAC06">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14A8B7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872E1E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其他糕点的加工</w:t>
            </w:r>
          </w:p>
        </w:tc>
      </w:tr>
      <w:tr w14:paraId="4E21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A938A5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589C524">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1390F7F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方便食品的加工</w:t>
            </w:r>
          </w:p>
        </w:tc>
        <w:tc>
          <w:tcPr>
            <w:tcW w:w="4126" w:type="dxa"/>
            <w:vAlign w:val="center"/>
          </w:tcPr>
          <w:p w14:paraId="3DC7700F">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方便面的加工</w:t>
            </w:r>
          </w:p>
        </w:tc>
      </w:tr>
      <w:tr w14:paraId="6F64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04EC0E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A70554D">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B91D0DB">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D29EB9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其他主食类方便食品的加工</w:t>
            </w:r>
          </w:p>
        </w:tc>
      </w:tr>
      <w:tr w14:paraId="3C68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4BF8C54">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3149924">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45649C3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9E9E07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冲调类方便食品的加工</w:t>
            </w:r>
          </w:p>
        </w:tc>
      </w:tr>
      <w:tr w14:paraId="5ED7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666ACD4">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968FCE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9BEEBF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B232BE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膨化食品的加工</w:t>
            </w:r>
          </w:p>
        </w:tc>
      </w:tr>
      <w:tr w14:paraId="39BE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A0B8F3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EA127D4">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2ECE7C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C0F78E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调味面制品的加工</w:t>
            </w:r>
          </w:p>
        </w:tc>
      </w:tr>
      <w:tr w14:paraId="5944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99AADA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39F4C80">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1D6E0AD1">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384454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其他方便食品的加工</w:t>
            </w:r>
          </w:p>
        </w:tc>
      </w:tr>
      <w:tr w14:paraId="4245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14815C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B4DB7A1">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6150E2B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糖果、巧克力及蜜饯食品的加工</w:t>
            </w:r>
          </w:p>
        </w:tc>
        <w:tc>
          <w:tcPr>
            <w:tcW w:w="4126" w:type="dxa"/>
            <w:vAlign w:val="center"/>
          </w:tcPr>
          <w:p w14:paraId="2C5575F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糖果的加工</w:t>
            </w:r>
          </w:p>
        </w:tc>
      </w:tr>
      <w:tr w14:paraId="5DDB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D9CE63E">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4C0FA1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95465C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9ED3FD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巧克力及制品的加工</w:t>
            </w:r>
          </w:p>
        </w:tc>
      </w:tr>
      <w:tr w14:paraId="663E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94986D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92B74C2">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41977C0">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73CD04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代可可脂巧克力及制品的加工</w:t>
            </w:r>
          </w:p>
        </w:tc>
      </w:tr>
      <w:tr w14:paraId="5EC8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2832CC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E9D990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D641264">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B2AA8E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蜜饯的加工</w:t>
            </w:r>
          </w:p>
        </w:tc>
      </w:tr>
      <w:tr w14:paraId="4309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D670EA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D4F773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606B81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41CF2E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果冻的加工</w:t>
            </w:r>
          </w:p>
        </w:tc>
      </w:tr>
      <w:tr w14:paraId="4CC7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663114E">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0D90A91">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6B15DEC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食用油脂及食用油脂制品的加工</w:t>
            </w:r>
          </w:p>
        </w:tc>
        <w:tc>
          <w:tcPr>
            <w:tcW w:w="4126" w:type="dxa"/>
            <w:vAlign w:val="center"/>
          </w:tcPr>
          <w:p w14:paraId="62A84FE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食用植物油的加工</w:t>
            </w:r>
          </w:p>
        </w:tc>
      </w:tr>
      <w:tr w14:paraId="1B76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B5807F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7ADF1CE">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684E50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1602AF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食用油脂制品的加工</w:t>
            </w:r>
          </w:p>
        </w:tc>
      </w:tr>
      <w:tr w14:paraId="48F4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Merge w:val="continue"/>
            <w:vAlign w:val="center"/>
          </w:tcPr>
          <w:p w14:paraId="268186D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0DFDBE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14F9D1C">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AF42C9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食用动物油脂的加工</w:t>
            </w:r>
          </w:p>
        </w:tc>
      </w:tr>
      <w:tr w14:paraId="3D21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9F880A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40A9696">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0B163BC7">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566957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其他油脂的加工</w:t>
            </w:r>
          </w:p>
        </w:tc>
      </w:tr>
      <w:tr w14:paraId="5BFF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5" w:type="dxa"/>
            <w:vMerge w:val="continue"/>
            <w:vAlign w:val="center"/>
          </w:tcPr>
          <w:p w14:paraId="3A607AE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1DE397E">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2FC9218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制糖</w:t>
            </w:r>
          </w:p>
        </w:tc>
        <w:tc>
          <w:tcPr>
            <w:tcW w:w="4126" w:type="dxa"/>
            <w:vAlign w:val="center"/>
          </w:tcPr>
          <w:p w14:paraId="46F1EBA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制糖</w:t>
            </w:r>
          </w:p>
        </w:tc>
      </w:tr>
      <w:tr w14:paraId="278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EC7D97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134B908">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15E81AD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盐加工</w:t>
            </w:r>
          </w:p>
        </w:tc>
        <w:tc>
          <w:tcPr>
            <w:tcW w:w="4126" w:type="dxa"/>
            <w:vAlign w:val="center"/>
          </w:tcPr>
          <w:p w14:paraId="5AB7BC6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盐加工</w:t>
            </w:r>
          </w:p>
        </w:tc>
      </w:tr>
      <w:tr w14:paraId="72EC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F07284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CC75715">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6322BD1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茶及茶制品加工</w:t>
            </w:r>
          </w:p>
        </w:tc>
        <w:tc>
          <w:tcPr>
            <w:tcW w:w="4126" w:type="dxa"/>
            <w:vAlign w:val="center"/>
          </w:tcPr>
          <w:p w14:paraId="3331B1A7">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制茶</w:t>
            </w:r>
          </w:p>
        </w:tc>
      </w:tr>
      <w:tr w14:paraId="6665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1B73012">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8A31EF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AA0E27C">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7A9CF0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茶制品（含调味茶）的加工</w:t>
            </w:r>
          </w:p>
        </w:tc>
      </w:tr>
      <w:tr w14:paraId="0654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59E51AD">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9E3C9A7">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31870A6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代用茶的加工</w:t>
            </w:r>
          </w:p>
        </w:tc>
        <w:tc>
          <w:tcPr>
            <w:tcW w:w="4126" w:type="dxa"/>
            <w:vAlign w:val="center"/>
          </w:tcPr>
          <w:p w14:paraId="4298C9B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代用茶的加工</w:t>
            </w:r>
          </w:p>
        </w:tc>
      </w:tr>
      <w:tr w14:paraId="3B19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0CB732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DE48B63">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4E481BF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调味品、发酵制品的加工</w:t>
            </w:r>
          </w:p>
        </w:tc>
        <w:tc>
          <w:tcPr>
            <w:tcW w:w="4126" w:type="dxa"/>
            <w:vAlign w:val="center"/>
          </w:tcPr>
          <w:p w14:paraId="44039BD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味精的加工</w:t>
            </w:r>
          </w:p>
        </w:tc>
      </w:tr>
      <w:tr w14:paraId="3631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670CAA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31B23C6">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1B4DA49B">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F1879A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酱油的加工</w:t>
            </w:r>
          </w:p>
        </w:tc>
      </w:tr>
      <w:tr w14:paraId="0BFC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8AD9E21">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17E6079">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A40A608">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63658A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食醋的加工</w:t>
            </w:r>
          </w:p>
        </w:tc>
      </w:tr>
      <w:tr w14:paraId="4AB7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6C86C2C">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9FA782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241FE134">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6679C7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发酵类调味酱的加工</w:t>
            </w:r>
          </w:p>
        </w:tc>
      </w:tr>
      <w:tr w14:paraId="5186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AEFD46C">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5195537">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9F0A92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8B5B1E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液体调味料的加工</w:t>
            </w:r>
          </w:p>
        </w:tc>
      </w:tr>
      <w:tr w14:paraId="2717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070A2C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6D23302">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EFB26C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7626A46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半固态调味料（酱）的加工</w:t>
            </w:r>
          </w:p>
        </w:tc>
      </w:tr>
      <w:tr w14:paraId="5899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BFB0F6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DAA31B0">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13CF5D4">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0189BE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固态调味料的加工</w:t>
            </w:r>
          </w:p>
        </w:tc>
      </w:tr>
      <w:tr w14:paraId="5082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D6D499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B9AE239">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C2958AC">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A44946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食用调味油的加工</w:t>
            </w:r>
          </w:p>
        </w:tc>
      </w:tr>
      <w:tr w14:paraId="2923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FD6A5C7">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358F88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B30AAAB">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8B1CD8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酵母的加工</w:t>
            </w:r>
          </w:p>
        </w:tc>
      </w:tr>
      <w:tr w14:paraId="40CA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AF7EACC">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57F7233">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BE43C43">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334C5D4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其他调味及发酵制品的加工</w:t>
            </w:r>
          </w:p>
        </w:tc>
      </w:tr>
      <w:tr w14:paraId="43A8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DDCD48F">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D853AF6">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2D8FB8C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可可及焙烤咖啡产品的加工</w:t>
            </w:r>
          </w:p>
        </w:tc>
        <w:tc>
          <w:tcPr>
            <w:tcW w:w="4126" w:type="dxa"/>
            <w:vAlign w:val="center"/>
          </w:tcPr>
          <w:p w14:paraId="20D6C4D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可可制品的加工</w:t>
            </w:r>
          </w:p>
        </w:tc>
      </w:tr>
      <w:tr w14:paraId="434C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F644CBC">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2EE6D27">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F9F58C7">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51A956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咖啡产品的加工</w:t>
            </w:r>
          </w:p>
        </w:tc>
      </w:tr>
      <w:tr w14:paraId="69ED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E947085">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5799CFE8">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52EDDEE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营养及保健品的加工</w:t>
            </w:r>
          </w:p>
        </w:tc>
        <w:tc>
          <w:tcPr>
            <w:tcW w:w="4126" w:type="dxa"/>
            <w:vAlign w:val="center"/>
          </w:tcPr>
          <w:p w14:paraId="5CDF98E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保健食品的加工</w:t>
            </w:r>
          </w:p>
        </w:tc>
      </w:tr>
      <w:tr w14:paraId="688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05" w:type="dxa"/>
            <w:vMerge w:val="continue"/>
            <w:vAlign w:val="center"/>
          </w:tcPr>
          <w:p w14:paraId="4A953F24">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97454B4">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C44946E">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01AB893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营养保健品原料（包括植物提取物等）的加工</w:t>
            </w:r>
          </w:p>
        </w:tc>
      </w:tr>
      <w:tr w14:paraId="28AE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D5F5FD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9F2434D">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F9E752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39545A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其他（包括用于出口的营养、保健品等）</w:t>
            </w:r>
          </w:p>
        </w:tc>
      </w:tr>
      <w:tr w14:paraId="5C84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163A2EF">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C4E7EFC">
            <w:pPr>
              <w:spacing w:line="594" w:lineRule="exact"/>
              <w:rPr>
                <w:rFonts w:eastAsia="仿宋_GB2312"/>
                <w:bCs/>
                <w:color w:val="000000" w:themeColor="text1"/>
                <w:sz w:val="28"/>
                <w:szCs w:val="21"/>
                <w14:textFill>
                  <w14:solidFill>
                    <w14:schemeClr w14:val="tx1"/>
                  </w14:solidFill>
                </w14:textFill>
              </w:rPr>
            </w:pPr>
          </w:p>
        </w:tc>
        <w:tc>
          <w:tcPr>
            <w:tcW w:w="2519" w:type="dxa"/>
            <w:vMerge w:val="restart"/>
            <w:vAlign w:val="center"/>
          </w:tcPr>
          <w:p w14:paraId="01C7B3A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特殊医学用途配方食品的加工</w:t>
            </w:r>
          </w:p>
        </w:tc>
        <w:tc>
          <w:tcPr>
            <w:tcW w:w="4126" w:type="dxa"/>
            <w:vAlign w:val="center"/>
          </w:tcPr>
          <w:p w14:paraId="170CB2D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特殊医学用途配方食品的加工</w:t>
            </w:r>
          </w:p>
        </w:tc>
      </w:tr>
      <w:tr w14:paraId="0EAB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AE2A541">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4DDF025">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5BB7D633">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2C47B9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特殊医学用途婴儿配方食品的加工</w:t>
            </w:r>
          </w:p>
        </w:tc>
      </w:tr>
      <w:tr w14:paraId="378D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42BEABF2">
            <w:pPr>
              <w:spacing w:line="594" w:lineRule="exact"/>
              <w:jc w:val="center"/>
              <w:rPr>
                <w:rFonts w:eastAsia="仿宋_GB2312"/>
                <w:bCs/>
                <w:color w:val="000000" w:themeColor="text1"/>
                <w:sz w:val="28"/>
                <w:szCs w:val="21"/>
                <w14:textFill>
                  <w14:solidFill>
                    <w14:schemeClr w14:val="tx1"/>
                  </w14:solidFill>
                </w14:textFill>
              </w:rPr>
            </w:pPr>
            <w:r>
              <w:rPr>
                <w:rFonts w:eastAsia="仿宋_GB2312"/>
                <w:bCs/>
                <w:color w:val="000000" w:themeColor="text1"/>
                <w:sz w:val="28"/>
                <w:szCs w:val="21"/>
                <w14:textFill>
                  <w14:solidFill>
                    <w14:schemeClr w14:val="tx1"/>
                  </w14:solidFill>
                </w14:textFill>
              </w:rPr>
              <w:t>DI</w:t>
            </w:r>
          </w:p>
        </w:tc>
        <w:tc>
          <w:tcPr>
            <w:tcW w:w="1072" w:type="dxa"/>
            <w:vMerge w:val="restart"/>
            <w:vAlign w:val="center"/>
          </w:tcPr>
          <w:p w14:paraId="54B505F0">
            <w:pPr>
              <w:spacing w:line="594" w:lineRule="exact"/>
              <w:rPr>
                <w:rFonts w:eastAsia="仿宋_GB2312"/>
                <w:bCs/>
                <w:color w:val="000000" w:themeColor="text1"/>
                <w:sz w:val="28"/>
                <w:szCs w:val="21"/>
                <w14:textFill>
                  <w14:solidFill>
                    <w14:schemeClr w14:val="tx1"/>
                  </w14:solidFill>
                </w14:textFill>
              </w:rPr>
            </w:pPr>
            <w:r>
              <w:rPr>
                <w:rFonts w:eastAsia="仿宋_GB2312"/>
                <w:bCs/>
                <w:color w:val="000000" w:themeColor="text1"/>
                <w:sz w:val="28"/>
                <w:szCs w:val="21"/>
                <w14:textFill>
                  <w14:solidFill>
                    <w14:schemeClr w14:val="tx1"/>
                  </w14:solidFill>
                </w14:textFill>
              </w:rPr>
              <w:t>饲料</w:t>
            </w:r>
            <w:r>
              <w:rPr>
                <w:rFonts w:hint="eastAsia" w:eastAsia="仿宋_GB2312"/>
                <w:bCs/>
                <w:color w:val="000000" w:themeColor="text1"/>
                <w:sz w:val="28"/>
                <w:szCs w:val="21"/>
                <w14:textFill>
                  <w14:solidFill>
                    <w14:schemeClr w14:val="tx1"/>
                  </w14:solidFill>
                </w14:textFill>
              </w:rPr>
              <w:t>生产</w:t>
            </w:r>
          </w:p>
        </w:tc>
        <w:tc>
          <w:tcPr>
            <w:tcW w:w="2519" w:type="dxa"/>
            <w:vMerge w:val="restart"/>
            <w:vAlign w:val="center"/>
          </w:tcPr>
          <w:p w14:paraId="39B66CB5">
            <w:pPr>
              <w:spacing w:line="594" w:lineRule="exact"/>
              <w:rPr>
                <w:rFonts w:eastAsia="仿宋_GB2312"/>
                <w:bCs/>
                <w:color w:val="000000" w:themeColor="text1"/>
                <w:sz w:val="28"/>
                <w:szCs w:val="21"/>
                <w14:textFill>
                  <w14:solidFill>
                    <w14:schemeClr w14:val="tx1"/>
                  </w14:solidFill>
                </w14:textFill>
              </w:rPr>
            </w:pPr>
            <w:r>
              <w:rPr>
                <w:rFonts w:eastAsia="仿宋_GB2312"/>
                <w:bCs/>
                <w:color w:val="000000" w:themeColor="text1"/>
                <w:sz w:val="28"/>
                <w:szCs w:val="21"/>
                <w14:textFill>
                  <w14:solidFill>
                    <w14:schemeClr w14:val="tx1"/>
                  </w14:solidFill>
                </w14:textFill>
              </w:rPr>
              <w:t>饲料的</w:t>
            </w:r>
            <w:r>
              <w:rPr>
                <w:rFonts w:hint="eastAsia" w:eastAsia="仿宋_GB2312"/>
                <w:bCs/>
                <w:color w:val="000000" w:themeColor="text1"/>
                <w:sz w:val="28"/>
                <w:szCs w:val="21"/>
                <w14:textFill>
                  <w14:solidFill>
                    <w14:schemeClr w14:val="tx1"/>
                  </w14:solidFill>
                </w14:textFill>
              </w:rPr>
              <w:t>加工</w:t>
            </w:r>
          </w:p>
        </w:tc>
        <w:tc>
          <w:tcPr>
            <w:tcW w:w="4126" w:type="dxa"/>
            <w:vAlign w:val="center"/>
          </w:tcPr>
          <w:p w14:paraId="7DDE5FF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单一饲料的加工</w:t>
            </w:r>
          </w:p>
        </w:tc>
      </w:tr>
      <w:tr w14:paraId="0C47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D50717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3727AB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23DDF95">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8DC939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配合饲料的加工</w:t>
            </w:r>
          </w:p>
        </w:tc>
      </w:tr>
      <w:tr w14:paraId="743C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80D909C">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3A8565A">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63658CED">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23E3FEB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浓缩饲料的加工</w:t>
            </w:r>
          </w:p>
        </w:tc>
      </w:tr>
      <w:tr w14:paraId="50E7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723C3B6F">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DII</w:t>
            </w:r>
          </w:p>
        </w:tc>
        <w:tc>
          <w:tcPr>
            <w:tcW w:w="1072" w:type="dxa"/>
            <w:vMerge w:val="restart"/>
            <w:vAlign w:val="center"/>
          </w:tcPr>
          <w:p w14:paraId="2426348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宠物饲料生产</w:t>
            </w:r>
          </w:p>
        </w:tc>
        <w:tc>
          <w:tcPr>
            <w:tcW w:w="2519" w:type="dxa"/>
            <w:vMerge w:val="restart"/>
            <w:vAlign w:val="center"/>
          </w:tcPr>
          <w:p w14:paraId="0DB411F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宠物食品的加工</w:t>
            </w:r>
          </w:p>
        </w:tc>
        <w:tc>
          <w:tcPr>
            <w:tcW w:w="4126" w:type="dxa"/>
            <w:vAlign w:val="center"/>
          </w:tcPr>
          <w:p w14:paraId="0B4613D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猫用宠物食品的加工</w:t>
            </w:r>
          </w:p>
        </w:tc>
      </w:tr>
      <w:tr w14:paraId="6F15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E8FC46F">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758383E8">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1DEC4669">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FA1D67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狗用宠物食品的加工（含狗咬胶）</w:t>
            </w:r>
          </w:p>
        </w:tc>
      </w:tr>
      <w:tr w14:paraId="6F1C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6C78F1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95B137C">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34F9FCC">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54961F6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其他宠物食品的加工</w:t>
            </w:r>
          </w:p>
        </w:tc>
      </w:tr>
      <w:tr w14:paraId="1120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5" w:type="dxa"/>
            <w:vMerge w:val="restart"/>
            <w:vAlign w:val="center"/>
          </w:tcPr>
          <w:p w14:paraId="37DE56A6">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E</w:t>
            </w:r>
          </w:p>
        </w:tc>
        <w:tc>
          <w:tcPr>
            <w:tcW w:w="1072" w:type="dxa"/>
            <w:vMerge w:val="restart"/>
            <w:vAlign w:val="center"/>
          </w:tcPr>
          <w:p w14:paraId="4F8FB3F7">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餐饮业</w:t>
            </w:r>
          </w:p>
        </w:tc>
        <w:tc>
          <w:tcPr>
            <w:tcW w:w="2519" w:type="dxa"/>
            <w:vAlign w:val="center"/>
          </w:tcPr>
          <w:p w14:paraId="58BCC6E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餐馆、食堂、快餐店服务</w:t>
            </w:r>
          </w:p>
        </w:tc>
        <w:tc>
          <w:tcPr>
            <w:tcW w:w="4126" w:type="dxa"/>
            <w:vAlign w:val="center"/>
          </w:tcPr>
          <w:p w14:paraId="16CBA37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餐馆、食堂、快餐店服务</w:t>
            </w:r>
          </w:p>
        </w:tc>
      </w:tr>
      <w:tr w14:paraId="2662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05" w:type="dxa"/>
            <w:vMerge w:val="continue"/>
            <w:vAlign w:val="center"/>
          </w:tcPr>
          <w:p w14:paraId="3CAB5779">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21090BFA">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24D4F5F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集体用餐制作、配送（包括航空配餐、中央厨房等）服务</w:t>
            </w:r>
          </w:p>
        </w:tc>
        <w:tc>
          <w:tcPr>
            <w:tcW w:w="4126" w:type="dxa"/>
            <w:vAlign w:val="center"/>
          </w:tcPr>
          <w:p w14:paraId="2E17487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集体用餐制作、配送（包括航空配餐、中央厨房等）服务</w:t>
            </w:r>
          </w:p>
        </w:tc>
      </w:tr>
      <w:tr w14:paraId="7A38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05" w:type="dxa"/>
            <w:vAlign w:val="center"/>
          </w:tcPr>
          <w:p w14:paraId="58EAB4C5">
            <w:pPr>
              <w:spacing w:line="594" w:lineRule="exact"/>
              <w:rPr>
                <w:rFonts w:hint="eastAsia" w:eastAsia="仿宋_GB2312"/>
                <w:b/>
                <w:bCs/>
                <w:color w:val="FF0000"/>
                <w:sz w:val="28"/>
                <w:szCs w:val="21"/>
              </w:rPr>
            </w:pPr>
            <w:r>
              <w:rPr>
                <w:rFonts w:hint="eastAsia" w:eastAsia="仿宋_GB2312"/>
                <w:b/>
                <w:bCs/>
                <w:color w:val="FF0000"/>
                <w:sz w:val="28"/>
                <w:szCs w:val="21"/>
              </w:rPr>
              <w:t>FI</w:t>
            </w:r>
          </w:p>
        </w:tc>
        <w:tc>
          <w:tcPr>
            <w:tcW w:w="1072" w:type="dxa"/>
            <w:vAlign w:val="center"/>
          </w:tcPr>
          <w:p w14:paraId="55E6E57A">
            <w:pPr>
              <w:spacing w:line="594" w:lineRule="exact"/>
              <w:rPr>
                <w:rFonts w:hint="eastAsia"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零售/批发</w:t>
            </w:r>
          </w:p>
        </w:tc>
        <w:tc>
          <w:tcPr>
            <w:tcW w:w="2519" w:type="dxa"/>
            <w:vAlign w:val="center"/>
          </w:tcPr>
          <w:p w14:paraId="35A9EFCD">
            <w:pPr>
              <w:spacing w:line="594" w:lineRule="exact"/>
              <w:rPr>
                <w:rFonts w:hint="eastAsia"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零售/批发</w:t>
            </w:r>
          </w:p>
        </w:tc>
        <w:tc>
          <w:tcPr>
            <w:tcW w:w="4126" w:type="dxa"/>
            <w:vAlign w:val="center"/>
          </w:tcPr>
          <w:p w14:paraId="2B3E0B51">
            <w:pPr>
              <w:spacing w:line="594" w:lineRule="exact"/>
              <w:rPr>
                <w:rFonts w:hint="eastAsia"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与食品相关的零售和批发服务</w:t>
            </w:r>
          </w:p>
        </w:tc>
      </w:tr>
      <w:tr w14:paraId="6384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05" w:type="dxa"/>
            <w:vAlign w:val="center"/>
          </w:tcPr>
          <w:p w14:paraId="22692515">
            <w:pPr>
              <w:spacing w:line="594" w:lineRule="exact"/>
              <w:jc w:val="center"/>
              <w:rPr>
                <w:rFonts w:eastAsia="仿宋_GB2312"/>
                <w:b/>
                <w:bCs/>
                <w:color w:val="FF0000"/>
                <w:sz w:val="28"/>
                <w:szCs w:val="21"/>
              </w:rPr>
            </w:pPr>
            <w:r>
              <w:rPr>
                <w:rFonts w:hint="eastAsia" w:eastAsia="仿宋_GB2312"/>
                <w:b/>
                <w:bCs/>
                <w:color w:val="FF0000"/>
                <w:sz w:val="28"/>
                <w:szCs w:val="21"/>
              </w:rPr>
              <w:t>F</w:t>
            </w:r>
            <w:r>
              <w:rPr>
                <w:rFonts w:eastAsia="仿宋_GB2312"/>
                <w:b/>
                <w:bCs/>
                <w:color w:val="FF0000"/>
                <w:sz w:val="28"/>
                <w:szCs w:val="21"/>
              </w:rPr>
              <w:t>2</w:t>
            </w:r>
          </w:p>
        </w:tc>
        <w:tc>
          <w:tcPr>
            <w:tcW w:w="1072" w:type="dxa"/>
            <w:vAlign w:val="center"/>
          </w:tcPr>
          <w:p w14:paraId="25001D70">
            <w:pPr>
              <w:spacing w:line="594" w:lineRule="exact"/>
              <w:rPr>
                <w:rFonts w:hint="eastAsia"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食品代理/贸易</w:t>
            </w:r>
          </w:p>
        </w:tc>
        <w:tc>
          <w:tcPr>
            <w:tcW w:w="2519" w:type="dxa"/>
            <w:vAlign w:val="center"/>
          </w:tcPr>
          <w:p w14:paraId="75DA9975">
            <w:pPr>
              <w:spacing w:line="594" w:lineRule="exact"/>
              <w:rPr>
                <w:rFonts w:hint="eastAsia"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食品代理/贸易</w:t>
            </w:r>
          </w:p>
        </w:tc>
        <w:tc>
          <w:tcPr>
            <w:tcW w:w="4126" w:type="dxa"/>
            <w:vAlign w:val="center"/>
          </w:tcPr>
          <w:p w14:paraId="23F69C25">
            <w:pPr>
              <w:spacing w:line="594" w:lineRule="exact"/>
              <w:rPr>
                <w:rFonts w:hint="eastAsia"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与食品相关的代理和贸易服务</w:t>
            </w:r>
          </w:p>
        </w:tc>
      </w:tr>
      <w:tr w14:paraId="51E3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4B81D96A">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GI</w:t>
            </w:r>
          </w:p>
        </w:tc>
        <w:tc>
          <w:tcPr>
            <w:tcW w:w="1072" w:type="dxa"/>
            <w:vMerge w:val="restart"/>
            <w:vAlign w:val="center"/>
          </w:tcPr>
          <w:p w14:paraId="26DDD913">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易腐食品与饲料的运输和贮藏的提供</w:t>
            </w:r>
          </w:p>
        </w:tc>
        <w:tc>
          <w:tcPr>
            <w:tcW w:w="2519" w:type="dxa"/>
            <w:vAlign w:val="center"/>
          </w:tcPr>
          <w:p w14:paraId="5EFD6715">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易腐食品、饲料的运输服务</w:t>
            </w:r>
          </w:p>
        </w:tc>
        <w:tc>
          <w:tcPr>
            <w:tcW w:w="4126" w:type="dxa"/>
            <w:vAlign w:val="center"/>
          </w:tcPr>
          <w:p w14:paraId="1FCB0057">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易腐食品、饲料的运输服务</w:t>
            </w:r>
          </w:p>
        </w:tc>
      </w:tr>
      <w:tr w14:paraId="334D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34945D45">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48F58326">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00667B2C">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易腐食品、饲料的贮藏服务</w:t>
            </w:r>
          </w:p>
        </w:tc>
        <w:tc>
          <w:tcPr>
            <w:tcW w:w="4126" w:type="dxa"/>
            <w:vAlign w:val="center"/>
          </w:tcPr>
          <w:p w14:paraId="3852A3E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易腐食品、饲料的贮藏服务</w:t>
            </w:r>
          </w:p>
        </w:tc>
      </w:tr>
      <w:tr w14:paraId="487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4D1E0BCB">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GII</w:t>
            </w:r>
          </w:p>
        </w:tc>
        <w:tc>
          <w:tcPr>
            <w:tcW w:w="1072" w:type="dxa"/>
            <w:vMerge w:val="restart"/>
            <w:vAlign w:val="center"/>
          </w:tcPr>
          <w:p w14:paraId="2ADC880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常温下稳定食品与饲料的运输和贮藏的提供</w:t>
            </w:r>
          </w:p>
        </w:tc>
        <w:tc>
          <w:tcPr>
            <w:tcW w:w="2519" w:type="dxa"/>
            <w:vAlign w:val="center"/>
          </w:tcPr>
          <w:p w14:paraId="32BC886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常温下稳定食品、饲料的运输服务</w:t>
            </w:r>
          </w:p>
        </w:tc>
        <w:tc>
          <w:tcPr>
            <w:tcW w:w="4126" w:type="dxa"/>
            <w:vAlign w:val="center"/>
          </w:tcPr>
          <w:p w14:paraId="055D60B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常温下稳定食品、饲料的运输服务</w:t>
            </w:r>
          </w:p>
        </w:tc>
      </w:tr>
      <w:tr w14:paraId="3D8C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11015AF8">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428A969">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518CD93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常温下稳定食品、饲料的贮藏服务</w:t>
            </w:r>
          </w:p>
        </w:tc>
        <w:tc>
          <w:tcPr>
            <w:tcW w:w="4126" w:type="dxa"/>
            <w:vAlign w:val="center"/>
          </w:tcPr>
          <w:p w14:paraId="1A503578">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常温下稳定食品、饲料的贮藏服务</w:t>
            </w:r>
          </w:p>
        </w:tc>
      </w:tr>
      <w:tr w14:paraId="7BC1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440B7511">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I</w:t>
            </w:r>
          </w:p>
        </w:tc>
        <w:tc>
          <w:tcPr>
            <w:tcW w:w="1072" w:type="dxa"/>
            <w:vMerge w:val="restart"/>
            <w:vAlign w:val="center"/>
          </w:tcPr>
          <w:p w14:paraId="7C04FD8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食品包装和包装材料的生产</w:t>
            </w:r>
          </w:p>
        </w:tc>
        <w:tc>
          <w:tcPr>
            <w:tcW w:w="2519" w:type="dxa"/>
            <w:vAlign w:val="center"/>
          </w:tcPr>
          <w:p w14:paraId="13ECC67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木竹制品的加工</w:t>
            </w:r>
          </w:p>
        </w:tc>
        <w:tc>
          <w:tcPr>
            <w:tcW w:w="4126" w:type="dxa"/>
            <w:vAlign w:val="center"/>
          </w:tcPr>
          <w:p w14:paraId="7E3B4DFA">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木竹制品的加工</w:t>
            </w:r>
          </w:p>
        </w:tc>
      </w:tr>
      <w:tr w14:paraId="49C4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672B430C">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306DB75B">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106EA087">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纸制品的加工</w:t>
            </w:r>
          </w:p>
        </w:tc>
        <w:tc>
          <w:tcPr>
            <w:tcW w:w="4126" w:type="dxa"/>
            <w:vAlign w:val="center"/>
          </w:tcPr>
          <w:p w14:paraId="1E7F306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纸制品的加工</w:t>
            </w:r>
          </w:p>
        </w:tc>
      </w:tr>
      <w:tr w14:paraId="7CCF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C027160">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7A59F9D">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130942A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金属制品的加工</w:t>
            </w:r>
          </w:p>
        </w:tc>
        <w:tc>
          <w:tcPr>
            <w:tcW w:w="4126" w:type="dxa"/>
            <w:vAlign w:val="center"/>
          </w:tcPr>
          <w:p w14:paraId="4638ECBF">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金属制品的加工</w:t>
            </w:r>
          </w:p>
        </w:tc>
      </w:tr>
      <w:tr w14:paraId="2E86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019EA86">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161E88D6">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3A31F95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陶瓷、搪瓷、玻璃制品的加工</w:t>
            </w:r>
          </w:p>
        </w:tc>
        <w:tc>
          <w:tcPr>
            <w:tcW w:w="4126" w:type="dxa"/>
            <w:vAlign w:val="center"/>
          </w:tcPr>
          <w:p w14:paraId="5961ED89">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陶瓷、搪瓷、玻璃制品的加工</w:t>
            </w:r>
          </w:p>
        </w:tc>
      </w:tr>
      <w:tr w14:paraId="62D4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5F24F333">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3CD9B1A">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02C09BC2">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食品用塑料、橡胶制品及复合包装材料的加工</w:t>
            </w:r>
          </w:p>
        </w:tc>
        <w:tc>
          <w:tcPr>
            <w:tcW w:w="4126" w:type="dxa"/>
            <w:vAlign w:val="center"/>
          </w:tcPr>
          <w:p w14:paraId="0DB6771B">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食品用塑料、橡胶制品及复合包装材料的加工</w:t>
            </w:r>
          </w:p>
        </w:tc>
      </w:tr>
      <w:tr w14:paraId="71F5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0CFECA25">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AFA1CCB">
            <w:pPr>
              <w:spacing w:line="594" w:lineRule="exact"/>
              <w:rPr>
                <w:rFonts w:eastAsia="仿宋_GB2312"/>
                <w:bCs/>
                <w:color w:val="000000" w:themeColor="text1"/>
                <w:sz w:val="28"/>
                <w:szCs w:val="21"/>
                <w14:textFill>
                  <w14:solidFill>
                    <w14:schemeClr w14:val="tx1"/>
                  </w14:solidFill>
                </w14:textFill>
              </w:rPr>
            </w:pPr>
          </w:p>
        </w:tc>
        <w:tc>
          <w:tcPr>
            <w:tcW w:w="2519" w:type="dxa"/>
            <w:vAlign w:val="center"/>
          </w:tcPr>
          <w:p w14:paraId="02D3B254">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其它包装材料的加工</w:t>
            </w:r>
          </w:p>
        </w:tc>
        <w:tc>
          <w:tcPr>
            <w:tcW w:w="4126" w:type="dxa"/>
            <w:vAlign w:val="center"/>
          </w:tcPr>
          <w:p w14:paraId="61ECC2AE">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其它包装材料的加工</w:t>
            </w:r>
          </w:p>
        </w:tc>
      </w:tr>
      <w:tr w14:paraId="0597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restart"/>
            <w:vAlign w:val="center"/>
          </w:tcPr>
          <w:p w14:paraId="23173DDE">
            <w:pPr>
              <w:spacing w:line="594" w:lineRule="exact"/>
              <w:jc w:val="center"/>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K</w:t>
            </w:r>
          </w:p>
        </w:tc>
        <w:tc>
          <w:tcPr>
            <w:tcW w:w="1072" w:type="dxa"/>
            <w:vMerge w:val="restart"/>
            <w:vAlign w:val="center"/>
          </w:tcPr>
          <w:p w14:paraId="33F602A6">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（生物）化学品的生产</w:t>
            </w:r>
          </w:p>
        </w:tc>
        <w:tc>
          <w:tcPr>
            <w:tcW w:w="2519" w:type="dxa"/>
            <w:vMerge w:val="restart"/>
            <w:vAlign w:val="center"/>
          </w:tcPr>
          <w:p w14:paraId="31F6DB8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生物化学品的生产</w:t>
            </w:r>
          </w:p>
        </w:tc>
        <w:tc>
          <w:tcPr>
            <w:tcW w:w="4126" w:type="dxa"/>
            <w:vAlign w:val="center"/>
          </w:tcPr>
          <w:p w14:paraId="693C294D">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食品添加剂的生产</w:t>
            </w:r>
          </w:p>
        </w:tc>
      </w:tr>
      <w:tr w14:paraId="5527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44BD7CFA">
            <w:pPr>
              <w:spacing w:line="594" w:lineRule="exact"/>
              <w:jc w:val="center"/>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63CC5F8F">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B6C06CF">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6A84014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饲料添加剂的生产</w:t>
            </w:r>
          </w:p>
        </w:tc>
      </w:tr>
      <w:tr w14:paraId="26C2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774988C1">
            <w:pPr>
              <w:spacing w:line="594" w:lineRule="exact"/>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983396B">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31B5748A">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4EC3F1F0">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营养强化剂的生产</w:t>
            </w:r>
          </w:p>
        </w:tc>
      </w:tr>
      <w:tr w14:paraId="460C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5" w:type="dxa"/>
            <w:vMerge w:val="continue"/>
            <w:vAlign w:val="center"/>
          </w:tcPr>
          <w:p w14:paraId="216EC035">
            <w:pPr>
              <w:spacing w:line="594" w:lineRule="exact"/>
              <w:rPr>
                <w:rFonts w:eastAsia="仿宋_GB2312"/>
                <w:bCs/>
                <w:color w:val="000000" w:themeColor="text1"/>
                <w:sz w:val="28"/>
                <w:szCs w:val="21"/>
                <w14:textFill>
                  <w14:solidFill>
                    <w14:schemeClr w14:val="tx1"/>
                  </w14:solidFill>
                </w14:textFill>
              </w:rPr>
            </w:pPr>
          </w:p>
        </w:tc>
        <w:tc>
          <w:tcPr>
            <w:tcW w:w="1072" w:type="dxa"/>
            <w:vMerge w:val="continue"/>
            <w:vAlign w:val="center"/>
          </w:tcPr>
          <w:p w14:paraId="00702531">
            <w:pPr>
              <w:spacing w:line="594" w:lineRule="exact"/>
              <w:rPr>
                <w:rFonts w:eastAsia="仿宋_GB2312"/>
                <w:bCs/>
                <w:color w:val="000000" w:themeColor="text1"/>
                <w:sz w:val="28"/>
                <w:szCs w:val="21"/>
                <w14:textFill>
                  <w14:solidFill>
                    <w14:schemeClr w14:val="tx1"/>
                  </w14:solidFill>
                </w14:textFill>
              </w:rPr>
            </w:pPr>
          </w:p>
        </w:tc>
        <w:tc>
          <w:tcPr>
            <w:tcW w:w="2519" w:type="dxa"/>
            <w:vMerge w:val="continue"/>
            <w:vAlign w:val="center"/>
          </w:tcPr>
          <w:p w14:paraId="78EA55E0">
            <w:pPr>
              <w:spacing w:line="594" w:lineRule="exact"/>
              <w:rPr>
                <w:rFonts w:eastAsia="仿宋_GB2312"/>
                <w:bCs/>
                <w:color w:val="000000" w:themeColor="text1"/>
                <w:sz w:val="28"/>
                <w:szCs w:val="21"/>
                <w14:textFill>
                  <w14:solidFill>
                    <w14:schemeClr w14:val="tx1"/>
                  </w14:solidFill>
                </w14:textFill>
              </w:rPr>
            </w:pPr>
          </w:p>
        </w:tc>
        <w:tc>
          <w:tcPr>
            <w:tcW w:w="4126" w:type="dxa"/>
            <w:vAlign w:val="center"/>
          </w:tcPr>
          <w:p w14:paraId="1B952971">
            <w:pPr>
              <w:spacing w:line="594" w:lineRule="exact"/>
              <w:rPr>
                <w:rFonts w:eastAsia="仿宋_GB2312"/>
                <w:bCs/>
                <w:color w:val="000000" w:themeColor="text1"/>
                <w:sz w:val="28"/>
                <w:szCs w:val="21"/>
                <w14:textFill>
                  <w14:solidFill>
                    <w14:schemeClr w14:val="tx1"/>
                  </w14:solidFill>
                </w14:textFill>
              </w:rPr>
            </w:pPr>
            <w:r>
              <w:rPr>
                <w:rFonts w:hint="eastAsia" w:eastAsia="仿宋_GB2312"/>
                <w:bCs/>
                <w:color w:val="000000" w:themeColor="text1"/>
                <w:sz w:val="28"/>
                <w:szCs w:val="21"/>
                <w14:textFill>
                  <w14:solidFill>
                    <w14:schemeClr w14:val="tx1"/>
                  </w14:solidFill>
                </w14:textFill>
              </w:rPr>
              <w:t>其他生物化学品的生产（杀虫剂、肥料、清洁剂等）</w:t>
            </w:r>
          </w:p>
        </w:tc>
      </w:tr>
    </w:tbl>
    <w:p w14:paraId="65391D55">
      <w:pPr>
        <w:spacing w:line="594" w:lineRule="exact"/>
        <w:rPr>
          <w:rFonts w:eastAsia="黑体" w:cs="黑体"/>
          <w:spacing w:val="20"/>
          <w:sz w:val="32"/>
          <w:szCs w:val="32"/>
        </w:rPr>
      </w:pPr>
      <w:r>
        <w:rPr>
          <w:rFonts w:hint="eastAsia" w:eastAsia="黑体" w:cs="黑体"/>
          <w:spacing w:val="20"/>
          <w:sz w:val="32"/>
          <w:szCs w:val="32"/>
        </w:rPr>
        <w:br w:type="page"/>
      </w:r>
    </w:p>
    <w:p w14:paraId="60FDA311">
      <w:pPr>
        <w:spacing w:line="594" w:lineRule="exact"/>
        <w:rPr>
          <w:rFonts w:ascii="Times New Roman" w:hAnsi="Times New Roman" w:eastAsia="黑体" w:cs="宋体"/>
          <w:color w:val="0D0D0D"/>
          <w:spacing w:val="20"/>
          <w:sz w:val="32"/>
          <w:szCs w:val="32"/>
        </w:rPr>
      </w:pPr>
      <w:r>
        <w:rPr>
          <w:rFonts w:hint="eastAsia" w:ascii="Times New Roman" w:hAnsi="Times New Roman" w:eastAsia="黑体" w:cs="宋体"/>
          <w:color w:val="0D0D0D"/>
          <w:spacing w:val="20"/>
          <w:sz w:val="32"/>
          <w:szCs w:val="32"/>
        </w:rPr>
        <w:t>附件</w:t>
      </w:r>
      <w:r>
        <w:rPr>
          <w:rFonts w:ascii="Times New Roman" w:hAnsi="Times New Roman" w:eastAsia="黑体" w:cs="宋体"/>
          <w:color w:val="0D0D0D"/>
          <w:spacing w:val="20"/>
          <w:sz w:val="32"/>
          <w:szCs w:val="32"/>
        </w:rPr>
        <w:t>2</w:t>
      </w:r>
    </w:p>
    <w:p w14:paraId="2330101C">
      <w:pPr>
        <w:spacing w:line="594" w:lineRule="exact"/>
        <w:jc w:val="center"/>
        <w:rPr>
          <w:rFonts w:ascii="Times New Roman" w:hAnsi="Times New Roman" w:eastAsia="黑体" w:cs="宋体"/>
          <w:color w:val="0D0D0D"/>
          <w:spacing w:val="20"/>
          <w:sz w:val="44"/>
          <w:szCs w:val="44"/>
        </w:rPr>
      </w:pPr>
      <w:bookmarkStart w:id="4" w:name="_Hlk65756151"/>
    </w:p>
    <w:p w14:paraId="730FB951">
      <w:pPr>
        <w:spacing w:line="594" w:lineRule="exact"/>
        <w:jc w:val="center"/>
        <w:rPr>
          <w:rFonts w:hint="eastAsia" w:ascii="宋体" w:hAnsi="宋体" w:eastAsia="宋体" w:cs="宋体"/>
          <w:color w:val="0D0D0D"/>
          <w:spacing w:val="20"/>
          <w:sz w:val="44"/>
          <w:szCs w:val="32"/>
        </w:rPr>
      </w:pPr>
      <w:r>
        <w:rPr>
          <w:rFonts w:hint="eastAsia" w:ascii="宋体" w:hAnsi="宋体" w:eastAsia="宋体" w:cs="宋体"/>
          <w:color w:val="0D0D0D"/>
          <w:spacing w:val="20"/>
          <w:sz w:val="44"/>
          <w:szCs w:val="32"/>
        </w:rPr>
        <w:t>危害分析与关键控制点（HACCP）体系</w:t>
      </w:r>
    </w:p>
    <w:p w14:paraId="23F41BCE">
      <w:pPr>
        <w:spacing w:line="594" w:lineRule="exact"/>
        <w:jc w:val="center"/>
        <w:rPr>
          <w:rFonts w:hint="eastAsia" w:ascii="宋体" w:hAnsi="宋体" w:eastAsia="宋体" w:cs="宋体"/>
          <w:color w:val="0D0D0D"/>
          <w:spacing w:val="20"/>
          <w:sz w:val="44"/>
          <w:szCs w:val="32"/>
        </w:rPr>
      </w:pPr>
      <w:r>
        <w:rPr>
          <w:rFonts w:hint="eastAsia" w:ascii="宋体" w:hAnsi="宋体" w:eastAsia="宋体" w:cs="宋体"/>
          <w:color w:val="0D0D0D"/>
          <w:spacing w:val="20"/>
          <w:sz w:val="44"/>
          <w:szCs w:val="32"/>
        </w:rPr>
        <w:t>认证要求（V1.0）</w:t>
      </w:r>
    </w:p>
    <w:bookmarkEnd w:id="4"/>
    <w:p w14:paraId="47405CE6">
      <w:pPr>
        <w:pStyle w:val="19"/>
        <w:adjustRightInd w:val="0"/>
        <w:snapToGrid w:val="0"/>
        <w:spacing w:line="594" w:lineRule="exact"/>
        <w:rPr>
          <w:rFonts w:ascii="Times New Roman" w:hAnsi="Times New Roman" w:eastAsia="方正小标宋简体" w:cs="仿宋_GB2312"/>
          <w:sz w:val="44"/>
          <w:szCs w:val="32"/>
        </w:rPr>
      </w:pPr>
    </w:p>
    <w:p w14:paraId="60E9C1D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附件可作为认证机构开展HACCP体系认证的依据，规定了食品及食品相关行业的生产经营企业以危害分析与关键控制点（HACCP）原理为基础，建立、实施、保持、改进HACCP体系的要求。本文件也适用于食品及食品相关行业的生产经营企业对其建立的HACCP体系的内部审核与自我评价。</w:t>
      </w:r>
    </w:p>
    <w:p w14:paraId="39D277C8">
      <w:pPr>
        <w:pStyle w:val="19"/>
        <w:adjustRightInd w:val="0"/>
        <w:snapToGrid w:val="0"/>
        <w:spacing w:line="594" w:lineRule="exact"/>
        <w:ind w:firstLine="628" w:firstLineChars="200"/>
        <w:rPr>
          <w:rFonts w:ascii="Times New Roman" w:hAnsi="Times New Roman" w:eastAsia="黑体" w:cs="仿宋_GB2312"/>
          <w:sz w:val="32"/>
          <w:szCs w:val="32"/>
        </w:rPr>
      </w:pPr>
      <w:r>
        <w:rPr>
          <w:rFonts w:hint="eastAsia" w:ascii="Times New Roman" w:hAnsi="Times New Roman" w:eastAsia="仿宋_GB2312" w:cs="仿宋_GB2312"/>
          <w:sz w:val="32"/>
          <w:szCs w:val="32"/>
        </w:rPr>
        <w:t xml:space="preserve">1  </w:t>
      </w:r>
      <w:r>
        <w:rPr>
          <w:rFonts w:hint="eastAsia" w:ascii="Times New Roman" w:hAnsi="Times New Roman" w:eastAsia="黑体" w:cs="仿宋_GB2312"/>
          <w:sz w:val="32"/>
          <w:szCs w:val="32"/>
        </w:rPr>
        <w:t>HACCP体系</w:t>
      </w:r>
    </w:p>
    <w:p w14:paraId="61D0B5D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1.1  </w:t>
      </w:r>
      <w:r>
        <w:rPr>
          <w:rFonts w:hint="eastAsia" w:ascii="Times New Roman" w:hAnsi="Times New Roman" w:eastAsia="楷体_GB2312" w:cs="仿宋_GB2312"/>
          <w:sz w:val="32"/>
          <w:szCs w:val="32"/>
        </w:rPr>
        <w:t>总要求</w:t>
      </w:r>
    </w:p>
    <w:p w14:paraId="2A97603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企业应按本文件策划、建立HACCP体系，形成文件，加以实施、保持、更新和持续改进，并确保其有效性。</w:t>
      </w:r>
    </w:p>
    <w:p w14:paraId="746476B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w:t>
      </w:r>
    </w:p>
    <w:p w14:paraId="4EF67B8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a）策划、实施、检查和改进HACCP体系的过程，并提供所需的资源；</w:t>
      </w:r>
    </w:p>
    <w:p w14:paraId="21E8F2B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b）确定HACCP体系范围。对影响食品安全的食品链相关过程进行识别并确定其相互影响；</w:t>
      </w:r>
    </w:p>
    <w:p w14:paraId="728B7000">
      <w:pPr>
        <w:pStyle w:val="19"/>
        <w:adjustRightInd w:val="0"/>
        <w:snapToGrid w:val="0"/>
        <w:spacing w:line="594" w:lineRule="exact"/>
        <w:ind w:firstLine="548" w:firstLineChars="200"/>
        <w:rPr>
          <w:rFonts w:ascii="Times New Roman" w:hAnsi="Times New Roman" w:eastAsia="仿宋_GB2312" w:cs="仿宋_GB2312"/>
          <w:sz w:val="28"/>
          <w:szCs w:val="32"/>
        </w:rPr>
      </w:pPr>
      <w:r>
        <w:rPr>
          <w:rFonts w:hint="eastAsia" w:ascii="Times New Roman" w:hAnsi="Times New Roman" w:eastAsia="仿宋_GB2312" w:cs="仿宋_GB2312"/>
          <w:sz w:val="28"/>
          <w:szCs w:val="32"/>
        </w:rPr>
        <w:t>注：食品链相关过程包括从初级生产直至消费的各环节相关过程，涉及食品及其辅料的生产、加工、分销、贮存、处理以及饲料生产、食品接触材料、生产服务提供等过程。</w:t>
      </w:r>
      <w:r>
        <w:rPr>
          <w:rFonts w:ascii="Times New Roman" w:hAnsi="Times New Roman" w:eastAsia="仿宋_GB2312" w:cs="仿宋_GB2312"/>
          <w:sz w:val="28"/>
          <w:szCs w:val="32"/>
        </w:rPr>
        <w:t xml:space="preserve"> </w:t>
      </w:r>
    </w:p>
    <w:p w14:paraId="4B002BA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建立、实施和保持对食品安全有影响的所有过程和操作，包括外包过程的控制程序，以确保符合我国和进口国家（地区）食品安全法律法规要求，并在HACCP体系中加以识别和验证。在验证时，应重点关注产品安全与相关法规、标准的符合性；</w:t>
      </w:r>
    </w:p>
    <w:p w14:paraId="5F04164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d）确保HACCP体系得到有效实施，使食品安全得到有效控制。当食品安全发生系统性偏差时，应对HACCP计划进行重新确认，持续改进HACCP体系。</w:t>
      </w:r>
    </w:p>
    <w:p w14:paraId="42B75EF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1.2  </w:t>
      </w:r>
      <w:r>
        <w:rPr>
          <w:rFonts w:hint="eastAsia" w:ascii="Times New Roman" w:hAnsi="Times New Roman" w:eastAsia="楷体_GB2312" w:cs="仿宋_GB2312"/>
          <w:sz w:val="32"/>
          <w:szCs w:val="32"/>
        </w:rPr>
        <w:t>文件要求</w:t>
      </w:r>
    </w:p>
    <w:p w14:paraId="74638CB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1.2.1  HACCP体系文件</w:t>
      </w:r>
    </w:p>
    <w:p w14:paraId="5739A4B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应包括：</w:t>
      </w:r>
    </w:p>
    <w:p w14:paraId="34610C8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a）形成文件的食品安全方针；</w:t>
      </w:r>
    </w:p>
    <w:p w14:paraId="6198BF2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b）HACCP手册；</w:t>
      </w:r>
    </w:p>
    <w:p w14:paraId="3E70708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c）本文件所要求的形成文件的程序；</w:t>
      </w:r>
    </w:p>
    <w:p w14:paraId="189D43B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d）企业为确保HACCP体系过程的有效策划、运行和控制所需的文件；</w:t>
      </w:r>
    </w:p>
    <w:p w14:paraId="38033A2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e）本文件所要求的记录。</w:t>
      </w:r>
    </w:p>
    <w:p w14:paraId="4E08571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1.2.2  HACCP手册</w:t>
      </w:r>
    </w:p>
    <w:p w14:paraId="01ED6F2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企业应编制和保持HACCP手册，内容至少包括：</w:t>
      </w:r>
    </w:p>
    <w:p w14:paraId="245C114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a）HACCP体系的范围，包括所覆盖产品或产品类别、操作步骤和场所；</w:t>
      </w:r>
    </w:p>
    <w:p w14:paraId="57E9C9C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b）HACCP体系程序文件或对其的引用；</w:t>
      </w:r>
    </w:p>
    <w:p w14:paraId="53A8DC3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c）HACCP体系过程及其相互作用的表述。</w:t>
      </w:r>
    </w:p>
    <w:p w14:paraId="7B7E59D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1.2.3  文件控制</w:t>
      </w:r>
    </w:p>
    <w:p w14:paraId="5A8FF85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HACCP体系所要求的文件应予以控制。</w:t>
      </w:r>
    </w:p>
    <w:p w14:paraId="7CCFAC0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应建立文件控制程序，以规定以下方面所需的控制：</w:t>
      </w:r>
    </w:p>
    <w:p w14:paraId="51FBD48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a）文件发布前得到批准，确保文件是充分的、适宜的和有效的；</w:t>
      </w:r>
    </w:p>
    <w:p w14:paraId="2F2141C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b）必要时对文件进行审核与更新，并再次批准；</w:t>
      </w:r>
    </w:p>
    <w:p w14:paraId="7BC35DC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c）确保文件的更改和现行修订状态得到识别；</w:t>
      </w:r>
    </w:p>
    <w:p w14:paraId="11F16FC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d）确保在使用处可获得文件的适用版本；</w:t>
      </w:r>
    </w:p>
    <w:p w14:paraId="47535DF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e）确保文件保持清晰、易于识别；</w:t>
      </w:r>
    </w:p>
    <w:p w14:paraId="7F34FAF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f）确保与HACCP体系相关的外来文件得到识别，并控制其分发；</w:t>
      </w:r>
    </w:p>
    <w:p w14:paraId="27A2281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g）防止失效文件的非预期使用，对需保留的作废文件进行适当的标识。</w:t>
      </w:r>
    </w:p>
    <w:p w14:paraId="07A105F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1.2.4  记录控制</w:t>
      </w:r>
    </w:p>
    <w:p w14:paraId="2A65410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应建立并保留记录，以提供符合要求和HACCP体系有效运行的证据。</w:t>
      </w:r>
    </w:p>
    <w:p w14:paraId="6422A07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应建立记录控制程序，规定记录的标识、贮存、保护、检索、保存期限和处置所需的控制。记录的保存期限应超过产品的保质期，并符合相关法律法规要求。</w:t>
      </w:r>
    </w:p>
    <w:p w14:paraId="4D1D2AD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记录应保持清晰、易于识别和检索。</w:t>
      </w:r>
    </w:p>
    <w:p w14:paraId="3E394AA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2  </w:t>
      </w:r>
      <w:r>
        <w:rPr>
          <w:rFonts w:hint="eastAsia" w:ascii="Times New Roman" w:hAnsi="Times New Roman" w:eastAsia="黑体" w:cs="黑体"/>
          <w:sz w:val="32"/>
          <w:szCs w:val="32"/>
        </w:rPr>
        <w:t>管理职责</w:t>
      </w:r>
    </w:p>
    <w:p w14:paraId="21AA435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2.1  </w:t>
      </w:r>
      <w:r>
        <w:rPr>
          <w:rFonts w:hint="eastAsia" w:ascii="Times New Roman" w:hAnsi="Times New Roman" w:eastAsia="楷体_GB2312" w:cs="楷体_GB2312"/>
          <w:sz w:val="32"/>
          <w:szCs w:val="32"/>
        </w:rPr>
        <w:t>管理承诺</w:t>
      </w:r>
    </w:p>
    <w:p w14:paraId="1D0C00C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最高管理者应通过以下活动，提供建立和实施HACCP体系所作承诺的证据：</w:t>
      </w:r>
    </w:p>
    <w:p w14:paraId="00E46D7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a）对HACCP体系的有效性负责；</w:t>
      </w:r>
    </w:p>
    <w:p w14:paraId="789FA2E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b）将满足顾客和法律法规对食品安全要求的重要性传达到企业的各级人员；</w:t>
      </w:r>
    </w:p>
    <w:p w14:paraId="6A24749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c）确保制定的食品安全方针和目标与企业的战略方向一致；</w:t>
      </w:r>
    </w:p>
    <w:p w14:paraId="1ACAF55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d）确保将HACCP体系的要求整合到企业的运营管理之中；</w:t>
      </w:r>
    </w:p>
    <w:p w14:paraId="2DC3785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e）确保企业食品安全文化的推行；</w:t>
      </w:r>
    </w:p>
    <w:p w14:paraId="4450B43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f）进行管理评审；</w:t>
      </w:r>
    </w:p>
    <w:p w14:paraId="6B4068B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g）确保各级员工关注食品安全问题，并鼓励有效的内部报告；</w:t>
      </w:r>
    </w:p>
    <w:p w14:paraId="1D4C6E1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h）确保资源的获得。</w:t>
      </w:r>
    </w:p>
    <w:p w14:paraId="79E86DD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2.2  </w:t>
      </w:r>
      <w:r>
        <w:rPr>
          <w:rFonts w:hint="eastAsia" w:ascii="Times New Roman" w:hAnsi="Times New Roman" w:eastAsia="楷体_GB2312" w:cs="楷体_GB2312"/>
          <w:sz w:val="32"/>
          <w:szCs w:val="32"/>
        </w:rPr>
        <w:t>合规义务</w:t>
      </w:r>
    </w:p>
    <w:p w14:paraId="45002FA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企业应识别法律法规要求、顾客要求及与HACCP体系有关的相关方的需求和期望，并从中识别确定其合规义务。 </w:t>
      </w:r>
    </w:p>
    <w:p w14:paraId="415414F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企业应保留确定合规义务的文件和记录，并保持更新。</w:t>
      </w:r>
    </w:p>
    <w:p w14:paraId="2635F4C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2.3  </w:t>
      </w:r>
      <w:r>
        <w:rPr>
          <w:rFonts w:hint="eastAsia" w:ascii="Times New Roman" w:hAnsi="Times New Roman" w:eastAsia="楷体_GB2312" w:cs="楷体_GB2312"/>
          <w:sz w:val="32"/>
          <w:szCs w:val="32"/>
        </w:rPr>
        <w:t>食品安全文化</w:t>
      </w:r>
    </w:p>
    <w:p w14:paraId="1BD3984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最高管理者应确保履行食品安全责任，建立企业的食品安全文化，应至少包括以下几个方面内容：</w:t>
      </w:r>
    </w:p>
    <w:p w14:paraId="036626E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a）通过培训让员工知晓企业食品安全文化，形成良好的食品安全意识；</w:t>
      </w:r>
    </w:p>
    <w:p w14:paraId="18F7992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b）传播和有效沟通企业的价值观，确保各级员工积极参与企业的食品安全文化建设，及时获得员工的反馈信息；</w:t>
      </w:r>
    </w:p>
    <w:p w14:paraId="06B4F3B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c）对食品安全文化活动及绩效进行评价，必要时加以改进。</w:t>
      </w:r>
    </w:p>
    <w:p w14:paraId="4AA32B0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企业应将保留构建及改进食品安全文化的记录。</w:t>
      </w:r>
    </w:p>
    <w:p w14:paraId="3E58F89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2.4  </w:t>
      </w:r>
      <w:r>
        <w:rPr>
          <w:rFonts w:hint="eastAsia" w:ascii="Times New Roman" w:hAnsi="Times New Roman" w:eastAsia="楷体_GB2312" w:cs="楷体_GB2312"/>
          <w:sz w:val="32"/>
          <w:szCs w:val="32"/>
        </w:rPr>
        <w:t>食品安全方针、目标</w:t>
      </w:r>
    </w:p>
    <w:p w14:paraId="71AD47E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2.4.1  方针</w:t>
      </w:r>
    </w:p>
    <w:p w14:paraId="2D899DB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最高管理者应制定、实施和保持食品安全方针，方针应：</w:t>
      </w:r>
    </w:p>
    <w:p w14:paraId="7C002E7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a）适应企业的宗旨和环境；</w:t>
      </w:r>
    </w:p>
    <w:p w14:paraId="7CE13A5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b）为制定和评审食品安全目标提供框架；</w:t>
      </w:r>
    </w:p>
    <w:p w14:paraId="384D035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c）包含满足法律法规要求和顾客要求相关的食品安全承诺；</w:t>
      </w:r>
    </w:p>
    <w:p w14:paraId="77E4C43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d）包括持续改进HACCP体系的承诺； </w:t>
      </w:r>
    </w:p>
    <w:p w14:paraId="79E005D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e）确保满足食品安全相关的能力需求；</w:t>
      </w:r>
    </w:p>
    <w:p w14:paraId="6B63E51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f）在持续适宜性方面得到评审。</w:t>
      </w:r>
    </w:p>
    <w:p w14:paraId="6406AE0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食品安全方针应在企业各级人员内进行沟通、理解和应用。适宜时，相关方可获取食品安全方针。</w:t>
      </w:r>
    </w:p>
    <w:p w14:paraId="1792DF0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2.4.2  目标</w:t>
      </w:r>
    </w:p>
    <w:p w14:paraId="4B1D6BE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最高管理者应确保在企业的相关职能和层次上为HACCP体系制定食品安全目标，目标应：</w:t>
      </w:r>
    </w:p>
    <w:p w14:paraId="7243E5C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a）与食品安全方针保持一致；</w:t>
      </w:r>
    </w:p>
    <w:p w14:paraId="6040B0F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b）可测量；</w:t>
      </w:r>
    </w:p>
    <w:p w14:paraId="04CACBA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c）与适用的合规义务相适宜；</w:t>
      </w:r>
    </w:p>
    <w:p w14:paraId="7CDBBDA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d）适当时予以更新。</w:t>
      </w:r>
    </w:p>
    <w:p w14:paraId="07834A6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2.5 </w:t>
      </w:r>
      <w:r>
        <w:rPr>
          <w:rFonts w:hint="eastAsia" w:ascii="Times New Roman" w:hAnsi="Times New Roman" w:eastAsia="楷体_GB2312" w:cs="楷体_GB2312"/>
          <w:sz w:val="32"/>
          <w:szCs w:val="32"/>
        </w:rPr>
        <w:t xml:space="preserve"> 职责、权限与沟通</w:t>
      </w:r>
    </w:p>
    <w:p w14:paraId="7A76D63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2.5.1  职责和权限</w:t>
      </w:r>
    </w:p>
    <w:p w14:paraId="483E05F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最高管理者应规定企业内各部门在HACCP体系中所承担的职责和权限，确保相关岗位的职责和权限在组织内进行分配、沟通和理解。</w:t>
      </w:r>
    </w:p>
    <w:p w14:paraId="125D4F2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最高管理者应任命HACCP小组组长并确认其职责权限，同时应：</w:t>
      </w:r>
    </w:p>
    <w:p w14:paraId="66CC3FE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a）确保建立、实施、保持和更新HACCP体系；</w:t>
      </w:r>
    </w:p>
    <w:p w14:paraId="2FC9066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b）带领HACCP小组工作；</w:t>
      </w:r>
    </w:p>
    <w:p w14:paraId="2CD1FD5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c）确保HACCP小组成员能够胜任，必要时，组织HACCP小组成员的相关培训和能力提升活动；</w:t>
      </w:r>
    </w:p>
    <w:p w14:paraId="001D324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d）向组织的最高管理者报告HACCP体系的有效性和适宜性。</w:t>
      </w:r>
    </w:p>
    <w:p w14:paraId="40C93BF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2.5.2  沟通</w:t>
      </w:r>
    </w:p>
    <w:p w14:paraId="4D8C99D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2.5.2.1  内部沟通</w:t>
      </w:r>
    </w:p>
    <w:p w14:paraId="0E92361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企业应建立、实施和保持有效的内部沟通，收集对食品安全有影响的信息，确保HACCP小组及时获取可引起HACCP体系变更的信息，保持HACCP体系的持续更新和有效性。</w:t>
      </w:r>
    </w:p>
    <w:p w14:paraId="2BD3D6D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最高管理者应确保HACCP体系的相关变更信息作为管理评审的输入。</w:t>
      </w:r>
    </w:p>
    <w:p w14:paraId="74CEFA5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2.5.2.2  内部报告</w:t>
      </w:r>
    </w:p>
    <w:p w14:paraId="24C3472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最高管理者应确保所有人员都有责任向上级管理者，直至最高管理者报告所关注到的食品安全问题及隐患。</w:t>
      </w:r>
    </w:p>
    <w:p w14:paraId="349CB32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确保消除妨碍员工参与报告的障碍，制定鼓励报告的上传、严禁威胁报复或惩罚的政策以保护报告人。设立专门的报告渠道，鼓励员工及时监督和举报与产品质量、食品安全和合规义务相关的内部运营缺陷或违规行为。</w:t>
      </w:r>
    </w:p>
    <w:p w14:paraId="0192590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应保留内部报告的记录。</w:t>
      </w:r>
    </w:p>
    <w:p w14:paraId="1D5E7BC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2.5.2.3  外部沟通</w:t>
      </w:r>
    </w:p>
    <w:p w14:paraId="7C44EEB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企业应确保与外部沟通的信息充分，并可供食品链的相关方获得。</w:t>
      </w:r>
    </w:p>
    <w:p w14:paraId="0C76E30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企业应与下述各方建立、实施并保持有效沟通：</w:t>
      </w:r>
    </w:p>
    <w:p w14:paraId="0EFF596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a）外部供应商和承包商；</w:t>
      </w:r>
    </w:p>
    <w:p w14:paraId="11A7DA3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b）客户和/或消费者；</w:t>
      </w:r>
    </w:p>
    <w:p w14:paraId="61A6C35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c）监管部门； </w:t>
      </w:r>
    </w:p>
    <w:p w14:paraId="7BF5C5F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d）对HACCP体系的有效性或更新有影响或受其影响的其他组织。</w:t>
      </w:r>
    </w:p>
    <w:p w14:paraId="4E438A9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企业应规定负责对外沟通食品安全有关信息人员的职责和权限。负责外部沟通的人员应接受适当培训，充分了解企业的产品、相关危害和HACCP体系，并经授权。</w:t>
      </w:r>
    </w:p>
    <w:p w14:paraId="4F2B912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适当时，外部沟通获得的信息可作为管理评审输入，并用于更新HACCP体系。</w:t>
      </w:r>
    </w:p>
    <w:p w14:paraId="4CDFC02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应保留外部沟通的记录。</w:t>
      </w:r>
    </w:p>
    <w:p w14:paraId="5970E5D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  </w:t>
      </w:r>
      <w:r>
        <w:rPr>
          <w:rFonts w:hint="eastAsia" w:ascii="Times New Roman" w:hAnsi="Times New Roman" w:eastAsia="黑体" w:cs="黑体"/>
          <w:sz w:val="32"/>
          <w:szCs w:val="32"/>
        </w:rPr>
        <w:t>前提计划</w:t>
      </w:r>
    </w:p>
    <w:p w14:paraId="2D21397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3.1  </w:t>
      </w:r>
      <w:r>
        <w:rPr>
          <w:rFonts w:hint="eastAsia" w:ascii="Times New Roman" w:hAnsi="Times New Roman" w:eastAsia="楷体_GB2312" w:cs="楷体_GB2312"/>
          <w:sz w:val="32"/>
          <w:szCs w:val="32"/>
        </w:rPr>
        <w:t>总则</w:t>
      </w:r>
    </w:p>
    <w:p w14:paraId="77A654E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企业应建立、实施、监视、验证、保持并在必要时更新或改进前提计划，以持续满足HACCP体系所需的卫生条件。企业的前提计划应经批准并保留记录。</w:t>
      </w:r>
    </w:p>
    <w:p w14:paraId="5552197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3.2  </w:t>
      </w:r>
      <w:r>
        <w:rPr>
          <w:rFonts w:hint="eastAsia" w:ascii="Times New Roman" w:hAnsi="Times New Roman" w:eastAsia="楷体_GB2312" w:cs="楷体_GB2312"/>
          <w:sz w:val="32"/>
          <w:szCs w:val="32"/>
        </w:rPr>
        <w:t>人力资源</w:t>
      </w:r>
    </w:p>
    <w:p w14:paraId="20D0367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企业应建立人力资源管理程序，确保从事食品安全工作的人员能够胜任，且满足以下要求：</w:t>
      </w:r>
    </w:p>
    <w:p w14:paraId="51AE818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a）对管理者和员工提供持续的培训，培训内容包括但不限于HACCP体系、专业技术知识及操作技能、法律法规等方面，确保相关人员具备必要的能力；</w:t>
      </w:r>
    </w:p>
    <w:p w14:paraId="22C2FBD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b）评价所提供培训或采取其他措施的有效性，必要时，应进行再次培训； </w:t>
      </w:r>
    </w:p>
    <w:p w14:paraId="1E22BCB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c）保留人员的教育、培训、技能和经验的适当记录。</w:t>
      </w:r>
    </w:p>
    <w:p w14:paraId="7EE54DF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3.3  </w:t>
      </w:r>
      <w:r>
        <w:rPr>
          <w:rFonts w:hint="eastAsia" w:ascii="Times New Roman" w:hAnsi="Times New Roman" w:eastAsia="楷体_GB2312" w:cs="楷体_GB2312"/>
          <w:sz w:val="32"/>
          <w:szCs w:val="32"/>
        </w:rPr>
        <w:t xml:space="preserve">良好卫生规范 </w:t>
      </w:r>
    </w:p>
    <w:p w14:paraId="2BB2BC0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企业应按照适用的法律法规、标准、操作规范和指南要求，建立、实施、保持和更新良好卫生规范，以预防和（或）减少产品中的、生产经营过程及产品所处环境中的污染。不同行业类别具体要求详见附录A。</w:t>
      </w:r>
    </w:p>
    <w:p w14:paraId="31D1A90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企业应保留良好卫生规范相关文件。企业应按策划的时间间隔对良好卫生规范、程序进行评审，当产品、流程和其他与业务相关的活动发生变更时应实施评审。</w:t>
      </w:r>
    </w:p>
    <w:p w14:paraId="702D87B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企业应对良好卫生规范的运行实施监视和测量。企业应基于风险分析，建立环境监测计划，以减少食品污染的风险。</w:t>
      </w:r>
    </w:p>
    <w:p w14:paraId="75D88E2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企业应对良好卫生规范实施效果进行验证，以确定能否保障食品安全和宜食用性。验证活动应包括对监视测量、纠正措施、记录的审核及卫生清洁效果的评估。</w:t>
      </w:r>
    </w:p>
    <w:p w14:paraId="409E081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3.4  </w:t>
      </w:r>
      <w:r>
        <w:rPr>
          <w:rFonts w:hint="eastAsia" w:ascii="Times New Roman" w:hAnsi="Times New Roman" w:eastAsia="楷体_GB2312" w:cs="楷体_GB2312"/>
          <w:sz w:val="32"/>
          <w:szCs w:val="32"/>
        </w:rPr>
        <w:t>产品设计和开发</w:t>
      </w:r>
    </w:p>
    <w:p w14:paraId="0E84E56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适用时，企业应建立、实施和保持产品设计和开发程序，以确保新产品研发、产品发生变化或产品生产工艺发生变更时，能够持续生产符合食品安全法规要求的产品。</w:t>
      </w:r>
    </w:p>
    <w:p w14:paraId="091E998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3.5  </w:t>
      </w:r>
      <w:r>
        <w:rPr>
          <w:rFonts w:hint="eastAsia" w:ascii="Times New Roman" w:hAnsi="Times New Roman" w:eastAsia="楷体_GB2312" w:cs="楷体_GB2312"/>
          <w:sz w:val="32"/>
          <w:szCs w:val="32"/>
        </w:rPr>
        <w:t>采购管理</w:t>
      </w:r>
    </w:p>
    <w:p w14:paraId="17E287C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采购管理应防止在原料、食品添加剂、食品相关产品，以及外部提供的服务中存在食品安全危害，建立对食品安全有影响的供方评价、批准和监控程序，至少包括以下方面的要求：</w:t>
      </w:r>
    </w:p>
    <w:p w14:paraId="59D656F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a）紧急情况下的采购要求；</w:t>
      </w:r>
    </w:p>
    <w:p w14:paraId="6907BDD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b）评估供方提供安全卫生的产品或服务的保障能力，必要时，对供方的食品安全管理体系进行文件审核或现场审核；</w:t>
      </w:r>
    </w:p>
    <w:p w14:paraId="13C8A24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c）保持和更新合格供方名录；</w:t>
      </w:r>
    </w:p>
    <w:p w14:paraId="7B91D78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确定验收准则，确保仅接收符合食品安全要求的物料和服务，包括核查原料、食品添加剂、食品相关产品的检验检疫、卫生合格证明、追溯标识、包装完好情况以及外部提供服务的能力证明等；必要时，对原料、食品添加剂、食品相关产品的安全卫生指标实施有针对性的检验和验证；</w:t>
      </w:r>
    </w:p>
    <w:p w14:paraId="4AF0C1EA">
      <w:pPr>
        <w:pStyle w:val="19"/>
        <w:adjustRightInd w:val="0"/>
        <w:snapToGrid w:val="0"/>
        <w:spacing w:line="594" w:lineRule="exact"/>
        <w:ind w:firstLine="628" w:firstLineChars="200"/>
        <w:rPr>
          <w:rFonts w:ascii="Times New Roman" w:hAnsi="Times New Roman" w:eastAsia="仿宋_GB2312" w:cs="仿宋_GB2312"/>
          <w:color w:val="0000FF"/>
          <w:sz w:val="32"/>
          <w:szCs w:val="32"/>
        </w:rPr>
      </w:pPr>
      <w:r>
        <w:rPr>
          <w:rFonts w:hint="eastAsia" w:ascii="Times New Roman" w:hAnsi="Times New Roman" w:eastAsia="仿宋_GB2312" w:cs="仿宋_GB2312"/>
          <w:color w:val="0000FF"/>
          <w:sz w:val="32"/>
          <w:szCs w:val="32"/>
        </w:rPr>
        <w:t>e）当使用外部检测服务机构对原料、食品添加剂、食品相关产品进行验证时，应确保该检测服务机构具备相应的法定资质和能力；</w:t>
      </w:r>
    </w:p>
    <w:p w14:paraId="046CC6A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f）应识别影响食品安全的外包过程，制定并实施控制措施，保留实施记录。</w:t>
      </w:r>
    </w:p>
    <w:p w14:paraId="416D04F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3.6  </w:t>
      </w:r>
      <w:r>
        <w:rPr>
          <w:rFonts w:hint="eastAsia" w:ascii="Times New Roman" w:hAnsi="Times New Roman" w:eastAsia="楷体_GB2312" w:cs="楷体_GB2312"/>
          <w:sz w:val="32"/>
          <w:szCs w:val="32"/>
        </w:rPr>
        <w:t>监视和测量</w:t>
      </w:r>
    </w:p>
    <w:p w14:paraId="2BE5D6C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企业应实施监视、测量活动，以确定相关程序按策划实施，符合规定准则要求。 </w:t>
      </w:r>
    </w:p>
    <w:p w14:paraId="7FF5732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企业应确定适宜的监视和测量方法。适用时，应包括监视和测量对象、人员、频次、抽样及分析方法等，以确保监测结果的有效。</w:t>
      </w:r>
    </w:p>
    <w:p w14:paraId="257AC22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当监测结果显示偏离规定的准则时，企业应采取纠正和/或纠正措施。 </w:t>
      </w:r>
    </w:p>
    <w:p w14:paraId="7682C6A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应保留监视和测量记录。</w:t>
      </w:r>
    </w:p>
    <w:p w14:paraId="11D8EC8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企业应准确识别、定期校准和维护用于测量食品安全相关关键参数的设施设备，其校准应依据国际或国家的测量标准。当不存在上述标准时，应记录校准或验证的依据。</w:t>
      </w:r>
    </w:p>
    <w:p w14:paraId="2214416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3.7  </w:t>
      </w:r>
      <w:r>
        <w:rPr>
          <w:rFonts w:hint="eastAsia" w:ascii="Times New Roman" w:hAnsi="Times New Roman" w:eastAsia="楷体_GB2312" w:cs="楷体_GB2312"/>
          <w:sz w:val="32"/>
          <w:szCs w:val="32"/>
        </w:rPr>
        <w:t>标识和追溯</w:t>
      </w:r>
    </w:p>
    <w:p w14:paraId="00A04F7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应建立、实施和保持产品标识和可追溯性程序，确保具备识别产品及其状态的追溯能力。至少满足以下方面的要求：</w:t>
      </w:r>
    </w:p>
    <w:p w14:paraId="792310C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a）在食品生产过程中，使用适宜的方法识别产品并建立唯一性标识，使其具有可追溯性；</w:t>
      </w:r>
    </w:p>
    <w:p w14:paraId="3B7DE74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b）针对监控和验证要求，标识产品的状态，以确保对影响食品安全的任何不符合和不符合产品(包括对发现的被损坏的、返工的和从顾客处退回的产品）进行明确标识和有效管理，以防止擅自放行；</w:t>
      </w:r>
    </w:p>
    <w:p w14:paraId="18C83AE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c）应对标有产品成分表、致敏物质、识别码和其他关键信息的包装材料进行管理，防止误用；</w:t>
      </w:r>
    </w:p>
    <w:p w14:paraId="1379F58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d）应保留进货产品追溯及必要的关键信息、进货查验记录和产品的发运记录；</w:t>
      </w:r>
    </w:p>
    <w:p w14:paraId="04686BB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e）成品应严格按照销售目标国家（地区）适用的食品安全法规要求进行标识。当产品未贴标签时，应提供所有有关的产品信息，以确保顾客或消费者安全食用或使用；</w:t>
      </w:r>
    </w:p>
    <w:p w14:paraId="533B7A6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f）应定期对产品可追溯性开展验证，以确保其有效运行。</w:t>
      </w:r>
    </w:p>
    <w:p w14:paraId="583155F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3.8  </w:t>
      </w:r>
      <w:r>
        <w:rPr>
          <w:rFonts w:hint="eastAsia" w:ascii="Times New Roman" w:hAnsi="Times New Roman" w:eastAsia="楷体_GB2312" w:cs="楷体_GB2312"/>
          <w:sz w:val="32"/>
          <w:szCs w:val="32"/>
        </w:rPr>
        <w:t>产品放行</w:t>
      </w:r>
    </w:p>
    <w:p w14:paraId="3BCE845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应建立、实施和更新产品放行程序，确保放行产品满足质量、安全和顾客要求，未达到可接受水平的产品不得放行。应对生产过程进行监视和测量，以控制不合格产品。未经授权人员批准，产品不得放行。</w:t>
      </w:r>
    </w:p>
    <w:p w14:paraId="4E00A39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保留授权放行人员和产品放行的记录。</w:t>
      </w:r>
    </w:p>
    <w:p w14:paraId="54E11CF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3.9  </w:t>
      </w:r>
      <w:r>
        <w:rPr>
          <w:rFonts w:hint="eastAsia" w:ascii="Times New Roman" w:hAnsi="Times New Roman" w:eastAsia="楷体_GB2312" w:cs="楷体_GB2312"/>
          <w:sz w:val="32"/>
          <w:szCs w:val="32"/>
        </w:rPr>
        <w:t>产品撤回和召回</w:t>
      </w:r>
    </w:p>
    <w:p w14:paraId="7CDE9AA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应建立、保持、评审、更新产品撤回和召回计划，确保及时撤回或召回受食品安全危害影响的全部放行产品。该计划应至少包括以下方面的要求： </w:t>
      </w:r>
    </w:p>
    <w:p w14:paraId="0C6EE85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a）启动和实施产品撤回和召回计划人员的职责和权限；</w:t>
      </w:r>
    </w:p>
    <w:p w14:paraId="3A409C7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b）产品撤回和召回行动需符合的相关法律、法规和其他相关要求；</w:t>
      </w:r>
    </w:p>
    <w:p w14:paraId="6C911F3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c）受食品安全危害影响产品的撤回和召回措施； </w:t>
      </w:r>
    </w:p>
    <w:p w14:paraId="6565863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d）对撤回或召回的产品进行分析和处置的措施，包括对可能受影响的其他产品的评估和处置；撤回或召回的产品在最终完成处置前应在控制下保管，防止非预期使用；</w:t>
      </w:r>
    </w:p>
    <w:p w14:paraId="0CCB7AA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应按照策划的周期，对产品撤回和召回计划进行演练验证其有效性。</w:t>
      </w:r>
    </w:p>
    <w:p w14:paraId="1C1B716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应保持产品撤回和召回计划实施记录，包括原因、范围和采取的纠正措施等。</w:t>
      </w:r>
    </w:p>
    <w:p w14:paraId="5F3A142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3.10  </w:t>
      </w:r>
      <w:r>
        <w:rPr>
          <w:rFonts w:hint="eastAsia" w:ascii="Times New Roman" w:hAnsi="Times New Roman" w:eastAsia="楷体_GB2312" w:cs="楷体_GB2312"/>
          <w:sz w:val="32"/>
          <w:szCs w:val="32"/>
        </w:rPr>
        <w:t>致敏物质的管理</w:t>
      </w:r>
    </w:p>
    <w:p w14:paraId="50941BE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应建立并实施针对所有食品生产经营过程及设施的致敏物质管理计划，以最大限度地减少或消除致敏物质交叉污染，至少满足以下方面的要求：</w:t>
      </w:r>
    </w:p>
    <w:p w14:paraId="6DA74BC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a）应对原辅料、中间品、成品、食品添加剂、加工助剂、接触材料及任何新产品开发引入的新成分进行致敏物质评估，以确定致敏物质存在的可能性，并形成记录；</w:t>
      </w:r>
    </w:p>
    <w:p w14:paraId="56D2ABC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b）应识别原料接收、加工、储存等所有相关过程中的致敏物质及污染途径，并对整个加工流程可能的致敏物质污染进行风险评估，避免致敏物质交叉污染的发生；</w:t>
      </w:r>
    </w:p>
    <w:p w14:paraId="4C6E688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c）应制定减少或消除致敏物质交叉污染的控制措施，可包括：</w:t>
      </w:r>
    </w:p>
    <w:p w14:paraId="06B0881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—对已识别存在致敏物质的原料、产品应实施标识；</w:t>
      </w:r>
    </w:p>
    <w:p w14:paraId="0742C72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—采用物理或时间隔离等措施防止含致敏物质的原料、产品与其他产品的交叉污染；</w:t>
      </w:r>
    </w:p>
    <w:p w14:paraId="5180F0B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—通过清洁和产品线转换等措施防止意外致敏物质的交叉污染； </w:t>
      </w:r>
    </w:p>
    <w:p w14:paraId="1E5372F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—必要时，应对加工操作人员实施致敏物管理意识、方法和预防措施的培训；</w:t>
      </w:r>
    </w:p>
    <w:p w14:paraId="49D8337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—当采取了良好的控制措施仍不能防止致敏物质接触时，应实施消费者告知。</w:t>
      </w:r>
    </w:p>
    <w:p w14:paraId="41DB1C0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d）应对减少或消除致敏物质交叉污染的控制措施进行确认和验证；</w:t>
      </w:r>
    </w:p>
    <w:p w14:paraId="3C79E49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e）对于产品设计所包含的致敏物质成分，或在生产中由于交叉接触所引入产品的致敏物质成分，应按照所在</w:t>
      </w:r>
      <w:r>
        <w:rPr>
          <w:rFonts w:hint="eastAsia" w:ascii="Times New Roman" w:hAnsi="Times New Roman" w:eastAsia="仿宋_GB2312" w:cs="仿宋_GB2312"/>
          <w:sz w:val="32"/>
          <w:szCs w:val="32"/>
          <w:lang w:val="en-US" w:eastAsia="zh-CN"/>
        </w:rPr>
        <w:t>国</w:t>
      </w:r>
      <w:r>
        <w:rPr>
          <w:rFonts w:hint="eastAsia" w:ascii="Times New Roman" w:hAnsi="Times New Roman" w:eastAsia="仿宋_GB2312" w:cs="仿宋_GB2312"/>
          <w:sz w:val="32"/>
          <w:szCs w:val="32"/>
        </w:rPr>
        <w:t>家（地区）和产品目的国家（地区）的法律法规要求进行标识。</w:t>
      </w:r>
    </w:p>
    <w:p w14:paraId="3899D35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3.11  </w:t>
      </w:r>
      <w:r>
        <w:rPr>
          <w:rFonts w:hint="eastAsia" w:ascii="Times New Roman" w:hAnsi="Times New Roman" w:eastAsia="楷体_GB2312" w:cs="楷体_GB2312"/>
          <w:sz w:val="32"/>
          <w:szCs w:val="32"/>
        </w:rPr>
        <w:t>食品防护</w:t>
      </w:r>
    </w:p>
    <w:p w14:paraId="7A182B5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针对人为的破坏或蓄意污染等情况，企业应建立、实施和改进食品防护计划，以识别潜在威胁并优先考虑食品防护措施。食品防护计划应包括但不限于以下内容：</w:t>
      </w:r>
    </w:p>
    <w:p w14:paraId="08D6A22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a）食品防护评估；</w:t>
      </w:r>
    </w:p>
    <w:p w14:paraId="3B3DDC3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b）食品防护措施；</w:t>
      </w:r>
    </w:p>
    <w:p w14:paraId="5B4022A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c）食品防护措施的监视；</w:t>
      </w:r>
    </w:p>
    <w:p w14:paraId="134EC44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d）纠正和纠正措施；</w:t>
      </w:r>
    </w:p>
    <w:p w14:paraId="67ED6F1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e）验证；</w:t>
      </w:r>
    </w:p>
    <w:p w14:paraId="49971C8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f）应急预案；</w:t>
      </w:r>
    </w:p>
    <w:p w14:paraId="7D742C4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g）记录。</w:t>
      </w:r>
    </w:p>
    <w:p w14:paraId="71BC59C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企业的食品防护计划应与HACCP体系整合。</w:t>
      </w:r>
    </w:p>
    <w:p w14:paraId="0640DEC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3.12  </w:t>
      </w:r>
      <w:r>
        <w:rPr>
          <w:rFonts w:hint="eastAsia" w:ascii="Times New Roman" w:hAnsi="Times New Roman" w:eastAsia="楷体_GB2312" w:cs="楷体_GB2312"/>
          <w:sz w:val="32"/>
          <w:szCs w:val="32"/>
        </w:rPr>
        <w:t>食品欺诈预防</w:t>
      </w:r>
      <w:r>
        <w:rPr>
          <w:rFonts w:hint="eastAsia" w:ascii="Times New Roman" w:hAnsi="Times New Roman" w:eastAsia="仿宋_GB2312" w:cs="仿宋_GB2312"/>
          <w:sz w:val="32"/>
          <w:szCs w:val="32"/>
        </w:rPr>
        <w:tab/>
      </w:r>
    </w:p>
    <w:p w14:paraId="4B3CDF6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企业建立并保持食品欺诈脆弱性评估程序，包括：</w:t>
      </w:r>
    </w:p>
    <w:p w14:paraId="38D8DD3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a）识别潜在的脆弱环节；</w:t>
      </w:r>
    </w:p>
    <w:p w14:paraId="587B01C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b）制定预防食品欺诈的措施；</w:t>
      </w:r>
    </w:p>
    <w:p w14:paraId="7716269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c）根据脆弱性评估的结果，确定控制措施的优先顺序。</w:t>
      </w:r>
    </w:p>
    <w:p w14:paraId="5EBC821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企业应收集有关供应链食品欺诈的以往和现存威胁信息，对食品链所有的原辅料进行脆弱性评估，以评估食品欺诈的潜在风险。企业应建立、实施和保持食品欺诈预防计划，以减少或消除识别的脆弱环节。</w:t>
      </w:r>
    </w:p>
    <w:p w14:paraId="424DFA6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企业的食品欺诈预防计划应覆盖相关的食品类别，并被企业的HACCP体系所支持。企业应对食品欺诈的预防措施进行确认和验证，并持续地对食品欺诈预防计划进行评审，至少每年一次。</w:t>
      </w:r>
    </w:p>
    <w:p w14:paraId="4D86302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3.13  </w:t>
      </w:r>
      <w:r>
        <w:rPr>
          <w:rFonts w:hint="eastAsia" w:ascii="Times New Roman" w:hAnsi="Times New Roman" w:eastAsia="楷体_GB2312" w:cs="楷体_GB2312"/>
          <w:sz w:val="32"/>
          <w:szCs w:val="32"/>
        </w:rPr>
        <w:t>应急准备和响应</w:t>
      </w:r>
    </w:p>
    <w:p w14:paraId="51BA197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应建立、实施和保持应急准备和响应程序。应识别、确定潜在的食品安全事故或紧急情况，应制定应急预案和措施，必要时做出撤回或召回的响应，以减少食品可能发生安全危害的影响。</w:t>
      </w:r>
    </w:p>
    <w:p w14:paraId="175ECD4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必要时，特别在事故或紧急情况发生后，企业应对应急预案予以审核和改进。应保持应急预案实施记录。</w:t>
      </w:r>
      <w:r>
        <w:rPr>
          <w:rFonts w:hint="eastAsia" w:ascii="Times New Roman" w:hAnsi="Times New Roman" w:eastAsia="仿宋_GB2312" w:cs="仿宋_GB2312"/>
          <w:sz w:val="32"/>
          <w:szCs w:val="32"/>
          <w:lang w:val="en-US" w:eastAsia="zh-CN"/>
        </w:rPr>
        <w:t>应对应急预案进行</w:t>
      </w:r>
      <w:r>
        <w:rPr>
          <w:rFonts w:hint="eastAsia" w:ascii="Times New Roman" w:hAnsi="Times New Roman" w:eastAsia="仿宋_GB2312" w:cs="仿宋_GB2312"/>
          <w:sz w:val="32"/>
          <w:szCs w:val="32"/>
        </w:rPr>
        <w:t>定期演练并验证其有效性。</w:t>
      </w:r>
    </w:p>
    <w:p w14:paraId="7DFE435A">
      <w:pPr>
        <w:pStyle w:val="19"/>
        <w:adjustRightInd w:val="0"/>
        <w:snapToGrid w:val="0"/>
        <w:spacing w:line="594" w:lineRule="exact"/>
        <w:ind w:firstLine="548" w:firstLineChars="200"/>
        <w:rPr>
          <w:rFonts w:ascii="Times New Roman" w:hAnsi="Times New Roman" w:eastAsia="仿宋_GB2312" w:cs="仿宋_GB2312"/>
          <w:sz w:val="28"/>
          <w:szCs w:val="32"/>
        </w:rPr>
      </w:pPr>
      <w:r>
        <w:rPr>
          <w:rFonts w:hint="eastAsia" w:ascii="Times New Roman" w:hAnsi="Times New Roman" w:eastAsia="仿宋_GB2312" w:cs="仿宋_GB2312"/>
          <w:sz w:val="28"/>
          <w:szCs w:val="32"/>
        </w:rPr>
        <w:t>注：紧急情况包括使企业的产品受到不可抗力因素影响的情况，如自然灾害、突发疫情、生物恐怖等。</w:t>
      </w:r>
    </w:p>
    <w:p w14:paraId="43EDAA9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  </w:t>
      </w:r>
      <w:r>
        <w:rPr>
          <w:rFonts w:hint="eastAsia" w:ascii="Times New Roman" w:hAnsi="Times New Roman" w:eastAsia="黑体" w:cs="黑体"/>
          <w:sz w:val="32"/>
          <w:szCs w:val="32"/>
        </w:rPr>
        <w:t>危害控制</w:t>
      </w:r>
    </w:p>
    <w:p w14:paraId="6E62743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4.1  </w:t>
      </w:r>
      <w:r>
        <w:rPr>
          <w:rFonts w:hint="eastAsia" w:ascii="Times New Roman" w:hAnsi="Times New Roman" w:eastAsia="楷体_GB2312" w:cs="楷体_GB2312"/>
          <w:sz w:val="32"/>
          <w:szCs w:val="32"/>
        </w:rPr>
        <w:t>总则</w:t>
      </w:r>
    </w:p>
    <w:p w14:paraId="6225F46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HACCP小组应根据以下七个原理的要求建立并实施企业HACCP计划，系统控制显著危害，确保将这些危害防止、消除或降低到可接受水平，以保证食品安全。</w:t>
      </w:r>
    </w:p>
    <w:p w14:paraId="3E66557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a）进行危害分析和制定控制措施；</w:t>
      </w:r>
    </w:p>
    <w:p w14:paraId="21C5EA8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b）确定关键控制点；</w:t>
      </w:r>
    </w:p>
    <w:p w14:paraId="6D92582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c）确定经确认的关键限值；</w:t>
      </w:r>
    </w:p>
    <w:p w14:paraId="48F728D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d）建立关键控制点的监控系统；</w:t>
      </w:r>
    </w:p>
    <w:p w14:paraId="58195B5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e）建立纠偏措施；</w:t>
      </w:r>
    </w:p>
    <w:p w14:paraId="2C3078C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f）确认HACCP计划，并建立验证程序；</w:t>
      </w:r>
    </w:p>
    <w:p w14:paraId="536CD2E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g）保持HACCP原理得到有效</w:t>
      </w:r>
      <w:r>
        <w:rPr>
          <w:rFonts w:hint="eastAsia" w:ascii="Times New Roman" w:hAnsi="Times New Roman" w:eastAsia="仿宋_GB2312" w:cs="仿宋_GB2312"/>
          <w:sz w:val="32"/>
          <w:szCs w:val="32"/>
          <w:lang w:val="en-US" w:eastAsia="zh-CN"/>
        </w:rPr>
        <w:t>应用</w:t>
      </w:r>
      <w:r>
        <w:rPr>
          <w:rFonts w:hint="eastAsia" w:ascii="Times New Roman" w:hAnsi="Times New Roman" w:eastAsia="仿宋_GB2312" w:cs="仿宋_GB2312"/>
          <w:sz w:val="32"/>
          <w:szCs w:val="32"/>
        </w:rPr>
        <w:t>的文件和记录。</w:t>
      </w:r>
    </w:p>
    <w:p w14:paraId="6BF85AA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当</w:t>
      </w:r>
      <w:r>
        <w:rPr>
          <w:rFonts w:hint="eastAsia" w:ascii="Times New Roman" w:hAnsi="Times New Roman" w:eastAsia="仿宋_GB2312" w:cs="仿宋_GB2312"/>
          <w:sz w:val="32"/>
          <w:szCs w:val="32"/>
        </w:rPr>
        <w:t>任何影响HACCP计划有效性因素</w:t>
      </w:r>
      <w:r>
        <w:rPr>
          <w:rFonts w:hint="eastAsia" w:ascii="Times New Roman" w:hAnsi="Times New Roman" w:eastAsia="仿宋_GB2312" w:cs="仿宋_GB2312"/>
          <w:sz w:val="32"/>
          <w:szCs w:val="32"/>
          <w:lang w:val="en-US" w:eastAsia="zh-CN"/>
        </w:rPr>
        <w:t>发生</w:t>
      </w:r>
      <w:r>
        <w:rPr>
          <w:rFonts w:hint="eastAsia" w:ascii="Times New Roman" w:hAnsi="Times New Roman" w:eastAsia="仿宋_GB2312" w:cs="仿宋_GB2312"/>
          <w:sz w:val="32"/>
          <w:szCs w:val="32"/>
        </w:rPr>
        <w:t>变化</w:t>
      </w:r>
      <w:r>
        <w:rPr>
          <w:rFonts w:hint="eastAsia" w:ascii="Times New Roman" w:hAnsi="Times New Roman" w:eastAsia="仿宋_GB2312" w:cs="仿宋_GB2312"/>
          <w:sz w:val="32"/>
          <w:szCs w:val="32"/>
          <w:lang w:val="en-US" w:eastAsia="zh-CN"/>
        </w:rPr>
        <w:t>时</w:t>
      </w:r>
      <w:r>
        <w:rPr>
          <w:rFonts w:hint="eastAsia" w:ascii="Times New Roman" w:hAnsi="Times New Roman" w:eastAsia="仿宋_GB2312" w:cs="仿宋_GB2312"/>
          <w:sz w:val="32"/>
          <w:szCs w:val="32"/>
        </w:rPr>
        <w:t>，如产品配方、工艺、加工条件的改变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均</w:t>
      </w:r>
      <w:r>
        <w:rPr>
          <w:rFonts w:hint="eastAsia" w:ascii="Times New Roman" w:hAnsi="Times New Roman" w:eastAsia="仿宋_GB2312" w:cs="仿宋_GB2312"/>
          <w:sz w:val="32"/>
          <w:szCs w:val="32"/>
        </w:rPr>
        <w:t>可能</w:t>
      </w:r>
      <w:r>
        <w:rPr>
          <w:rFonts w:hint="eastAsia" w:ascii="Times New Roman" w:hAnsi="Times New Roman" w:eastAsia="仿宋_GB2312" w:cs="仿宋_GB2312"/>
          <w:sz w:val="32"/>
          <w:szCs w:val="32"/>
          <w:lang w:val="en-US" w:eastAsia="zh-CN"/>
        </w:rPr>
        <w:t>导致</w:t>
      </w:r>
      <w:r>
        <w:rPr>
          <w:rFonts w:hint="eastAsia" w:ascii="Times New Roman" w:hAnsi="Times New Roman" w:eastAsia="仿宋_GB2312" w:cs="仿宋_GB2312"/>
          <w:sz w:val="32"/>
          <w:szCs w:val="32"/>
        </w:rPr>
        <w:t>HACCP计划的改变，要对HACCP计划进行确认和验证，必要时进行更新。</w:t>
      </w:r>
    </w:p>
    <w:p w14:paraId="6466B04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4.2  </w:t>
      </w:r>
      <w:r>
        <w:rPr>
          <w:rFonts w:hint="eastAsia" w:ascii="Times New Roman" w:hAnsi="Times New Roman" w:eastAsia="楷体_GB2312" w:cs="楷体_GB2312"/>
          <w:sz w:val="32"/>
          <w:szCs w:val="32"/>
        </w:rPr>
        <w:t>预备步骤</w:t>
      </w:r>
    </w:p>
    <w:p w14:paraId="4546BD5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4.2.1  HACCP小组的组成</w:t>
      </w:r>
    </w:p>
    <w:p w14:paraId="1DFDF81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企业HACCP小组人员的能力应满足本企业食品生产经营专业技术要求，并由不同部门的人员组成，应包括卫生质量控制、产品研发、生产工艺技术、设备设施管理、原辅料采购、销售、仓储及运输部门的人员，必要时，可请外部专家参与。 </w:t>
      </w:r>
    </w:p>
    <w:p w14:paraId="421547D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小组成员应具备与企业的产品、过程、所涉及危害相关的专业技术知识和经验，并经过适当培训。</w:t>
      </w:r>
    </w:p>
    <w:p w14:paraId="23714BC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最高管理者应指定一名HACCP小组组长，并应赋予以下方面的职责和权限：</w:t>
      </w:r>
    </w:p>
    <w:p w14:paraId="54697B3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a）确保HACCP体系所需的过程得到建立、实施和保持；</w:t>
      </w:r>
    </w:p>
    <w:p w14:paraId="3A7A253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b）向最高管理者报告HACCP体系的有效性、适宜性以及任何更新或改进的需求；</w:t>
      </w:r>
    </w:p>
    <w:p w14:paraId="3421703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c）领导企业HACCP小组的工作，并通过教育、培训、实践等方式确保HACCP小组成员在专业知识、技能和经验方面得到持续提高。</w:t>
      </w:r>
    </w:p>
    <w:p w14:paraId="64B19D2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应保持HACCP小组成员的学历、经历、培训、批准以及活动的记录。</w:t>
      </w:r>
    </w:p>
    <w:p w14:paraId="0657375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4.2.2  产品描述</w:t>
      </w:r>
    </w:p>
    <w:p w14:paraId="6821199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4.2.2.1  原料、食品添加剂、食品相关产品</w:t>
      </w:r>
    </w:p>
    <w:p w14:paraId="0046633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HACCP小组应针对原料、食品添加剂、食品相关产品，识别、确定并记录进行危害分析所需的下列适用信息：</w:t>
      </w:r>
    </w:p>
    <w:p w14:paraId="4F91A4F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a）名称、类别、成分及其生物、化学和物理特性；</w:t>
      </w:r>
    </w:p>
    <w:p w14:paraId="5842B73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b）来源、生产、包装、储藏、运输和交付方式；</w:t>
      </w:r>
    </w:p>
    <w:p w14:paraId="5E28D81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c）接收要求、接收方式和使用方式。</w:t>
      </w:r>
    </w:p>
    <w:p w14:paraId="1FA5ACF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4.2.2.2  终产品</w:t>
      </w:r>
    </w:p>
    <w:p w14:paraId="039E406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HACCP小组应针对不再进一步加工或转化的成品——终产品，识别、确定并记录进行危害分析所需的下列适用信息：</w:t>
      </w:r>
    </w:p>
    <w:p w14:paraId="7A65D0A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a）名称、类别、成分及其生物、化学和物理特性；</w:t>
      </w:r>
    </w:p>
    <w:p w14:paraId="1A2EC61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b）加工方式；</w:t>
      </w:r>
    </w:p>
    <w:p w14:paraId="23B01C1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c）包装、储藏、运输和交付方式；</w:t>
      </w:r>
    </w:p>
    <w:p w14:paraId="0681D11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d）销售方式和标识；</w:t>
      </w:r>
    </w:p>
    <w:p w14:paraId="4CF3CAE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e）其他必要的信息，包括相关主管部门或企业对终产品的限制要求等。</w:t>
      </w:r>
    </w:p>
    <w:p w14:paraId="7598D0E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4.2.3  预期用途的确定</w:t>
      </w:r>
    </w:p>
    <w:p w14:paraId="7060BA2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HACCP小组应在产品描述的基础上，识别、确定并记录进行危害分析所需的下列适用信息：</w:t>
      </w:r>
    </w:p>
    <w:p w14:paraId="5B99C17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a）顾客对终产品的消费或使用期望，法规及相关标准要求；</w:t>
      </w:r>
    </w:p>
    <w:p w14:paraId="28EA19B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b）终产品的预期用途和储藏条件，以及保质期；</w:t>
      </w:r>
    </w:p>
    <w:p w14:paraId="59ABDAB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c）终产品预期的食用或使用方式；</w:t>
      </w:r>
    </w:p>
    <w:p w14:paraId="5F2B37A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d）终产品预期的顾客对象；</w:t>
      </w:r>
    </w:p>
    <w:p w14:paraId="06C69D1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e）直接消费终产品对易受伤害群体的适用性；</w:t>
      </w:r>
    </w:p>
    <w:p w14:paraId="649D816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f）终产品非预期（但极可能出现）的食用或使用方式；</w:t>
      </w:r>
    </w:p>
    <w:p w14:paraId="03B8E09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g）其他必要的信息。</w:t>
      </w:r>
    </w:p>
    <w:p w14:paraId="3DE68AC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4.2.4  过程描述及流程图的制定</w:t>
      </w:r>
    </w:p>
    <w:p w14:paraId="5AA65B2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HACCP小组应在企业产品生产的范围内，根据产品的操作要求描绘产品的工艺流程图，此图应包括：</w:t>
      </w:r>
    </w:p>
    <w:p w14:paraId="134A3F9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a）每个步骤及其相应操作；</w:t>
      </w:r>
    </w:p>
    <w:p w14:paraId="12D2D57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b）步骤之间的顺序和相互关系；</w:t>
      </w:r>
    </w:p>
    <w:p w14:paraId="1F9C582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c）返工点和循环点（适宜时）；</w:t>
      </w:r>
    </w:p>
    <w:p w14:paraId="2AFB4F9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d）外部的过程和外包的内容；</w:t>
      </w:r>
    </w:p>
    <w:p w14:paraId="68FC94B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e）原料、辅料和中间产品的投入点；</w:t>
      </w:r>
    </w:p>
    <w:p w14:paraId="0D7562F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f）终产品、中间产品放行点和副产品、废弃物的排放点。</w:t>
      </w:r>
    </w:p>
    <w:p w14:paraId="4565D39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流程图的制定应完整、准确、清晰。</w:t>
      </w:r>
    </w:p>
    <w:p w14:paraId="52A7D12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每个加工步骤的操作要求和工艺参数应在工艺描述中列出，加工步骤相似的多个产品可以使用同一流程图。适用时，应提供工厂位置图、厂区平面图、车间平面图、人流物流图、供排水网络图、虫害控制平面图等。</w:t>
      </w:r>
    </w:p>
    <w:p w14:paraId="3EFAEBC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4.2.5  流程图的确认</w:t>
      </w:r>
    </w:p>
    <w:p w14:paraId="65875FE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应由熟悉操作工艺的HACCP小组人员对所有操作步骤在操作状态下进行现场核查，确认并证实与所制定流程图是否一致，并在必要时进行修改。</w:t>
      </w:r>
    </w:p>
    <w:p w14:paraId="09A7366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应保持经确认的流程图。</w:t>
      </w:r>
    </w:p>
    <w:p w14:paraId="642291B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4.3  </w:t>
      </w:r>
      <w:r>
        <w:rPr>
          <w:rFonts w:hint="eastAsia" w:ascii="Times New Roman" w:hAnsi="Times New Roman" w:eastAsia="楷体_GB2312" w:cs="楷体_GB2312"/>
          <w:sz w:val="32"/>
          <w:szCs w:val="32"/>
        </w:rPr>
        <w:t>危害分析和制定控制措施</w:t>
      </w:r>
    </w:p>
    <w:p w14:paraId="01505F3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 xml:space="preserve">  危害分析</w:t>
      </w:r>
    </w:p>
    <w:p w14:paraId="1079885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.1  危害识别</w:t>
      </w:r>
    </w:p>
    <w:p w14:paraId="04F4EF3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HACCP小组应根据食品风险程度，分析流程步骤中可能出现引入或增加的生物、化学、物理危害，考虑以下方面的因素：</w:t>
      </w:r>
    </w:p>
    <w:p w14:paraId="38D53D4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a）产品、操作和环境；</w:t>
      </w:r>
    </w:p>
    <w:p w14:paraId="78A17CC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b）消费者或顾客和法律法规对终产品及原料、食品添加剂、食品相关产品的安全卫生要求；</w:t>
      </w:r>
    </w:p>
    <w:p w14:paraId="334ADDB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c）消费时与食品安全危害相关的信息；</w:t>
      </w:r>
    </w:p>
    <w:p w14:paraId="02B232D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d）不安全产品处置、纠偏、召回和应急预案的状况；</w:t>
      </w:r>
    </w:p>
    <w:p w14:paraId="17B5F24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e）历史上和当前的流行病学、动植物疫情或疾病统计数据和食品安全事故案例； </w:t>
      </w:r>
    </w:p>
    <w:p w14:paraId="00754D9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f）科技文献，包括相关类别产品的危害控制指南；</w:t>
      </w:r>
    </w:p>
    <w:p w14:paraId="4D8E3A9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g）危害识别范围内的其他步骤对产品产生的影响；</w:t>
      </w:r>
    </w:p>
    <w:p w14:paraId="4C93554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h）经验。</w:t>
      </w:r>
    </w:p>
    <w:p w14:paraId="61E22DF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在从原料接收直到最终交付的范围内，针对需考虑的所有危害，识别其在每个操作步骤中有根据预期被引入、产生或增长的所有潜在危害及其原因。</w:t>
      </w:r>
    </w:p>
    <w:p w14:paraId="27D7275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当影响危害识别结果的任何因素发生变化时，HACCP小组应重新进行危害识别。</w:t>
      </w:r>
    </w:p>
    <w:p w14:paraId="0BD7970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应保持危害识别依据和结果的记录。</w:t>
      </w:r>
    </w:p>
    <w:p w14:paraId="62D775E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.2  危害评估</w:t>
      </w:r>
    </w:p>
    <w:p w14:paraId="150533C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HACCP小组应针对识别的潜在危害，评估其发生的严重性和可能性，如果某种潜在危害在该步骤极可能发生且后果严重，则应确定为显著危害。</w:t>
      </w:r>
    </w:p>
    <w:p w14:paraId="3BA51C61">
      <w:pPr>
        <w:pStyle w:val="19"/>
        <w:adjustRightInd w:val="0"/>
        <w:snapToGrid w:val="0"/>
        <w:spacing w:line="594" w:lineRule="exact"/>
        <w:ind w:firstLine="628"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应保持危害评估依据和结果的记录。</w:t>
      </w:r>
    </w:p>
    <w:p w14:paraId="463DADC4">
      <w:pPr>
        <w:pStyle w:val="19"/>
        <w:adjustRightInd w:val="0"/>
        <w:snapToGrid w:val="0"/>
        <w:spacing w:line="594" w:lineRule="exact"/>
        <w:ind w:firstLine="628"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4.3.2 控制措施的制定</w:t>
      </w:r>
    </w:p>
    <w:p w14:paraId="131C411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HACCP小组应针对每种显著危害制定相应的控制措施，并提供证实其有效性的记录；应明确显著危害与控制措施之间的对应关系，并考虑一项控制措施控制多种显著危害或多项控制措施控制一种显著危害的情况。</w:t>
      </w:r>
    </w:p>
    <w:p w14:paraId="749EC6A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当控制措施涉及操作改变时，应做出相应的变更，并修改流程图。</w:t>
      </w:r>
    </w:p>
    <w:p w14:paraId="75A167D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在现有技术条件下，某种显著危害不能制定有效控制措施时，企业应策划和实施必要的技术改造，必要时，应变更加工工艺、产品（包括原辅料）或预期用途，直至建立有效的控制措施。</w:t>
      </w:r>
    </w:p>
    <w:p w14:paraId="2500330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应对所制定的控制措施予以确认，确保其能将相应的危害控制在可接受水平。</w:t>
      </w:r>
    </w:p>
    <w:p w14:paraId="01F302F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当控制措施有效性受到影响时，应评价、更新或改进控制措施，并再确认。</w:t>
      </w:r>
    </w:p>
    <w:p w14:paraId="7635863D">
      <w:pPr>
        <w:pStyle w:val="19"/>
        <w:adjustRightInd w:val="0"/>
        <w:snapToGrid w:val="0"/>
        <w:spacing w:line="594" w:lineRule="exact"/>
        <w:ind w:firstLine="628"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应保持控制措施的制定依据和控制措施文件。</w:t>
      </w:r>
    </w:p>
    <w:p w14:paraId="46AA66E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4.3.3  危害分析工作单 </w:t>
      </w:r>
    </w:p>
    <w:p w14:paraId="63F7BE3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HACCP小组应根据工艺流程、危害识别、危害评估、控制措施等结果提供形成文件的危害分析工作单，包括加工步骤、考虑的潜在危害、显著危害判断的依据、控制措施，并明确各因素之间的相互关系。</w:t>
      </w:r>
    </w:p>
    <w:p w14:paraId="63EB25F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在危害分析工作单中，应描述控制措施与相应显著危害的关系，为确定关键控制点提供依据。</w:t>
      </w:r>
    </w:p>
    <w:p w14:paraId="24F5B6D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HACCP小组应在危害分析结果受到任何因素影响时，对危害分析工作单做出必要的更新或修订。</w:t>
      </w:r>
    </w:p>
    <w:p w14:paraId="7F4A113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应保持形成文件的危害分析工作单。</w:t>
      </w:r>
    </w:p>
    <w:p w14:paraId="364F729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 xml:space="preserve">  HACCP计划</w:t>
      </w:r>
    </w:p>
    <w:p w14:paraId="158D73A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.1  关键控制点（CCP）的确定</w:t>
      </w:r>
    </w:p>
    <w:p w14:paraId="2BF9098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HACCP小组应根据危害分析所提供的显著危害与控制措施之间的关系，识别针对每种显著危害控制的适当步骤，以确定CCP。CCP应建立在必须实施控制措施且当控制措施失效时直接影响食品安全的步骤。</w:t>
      </w:r>
    </w:p>
    <w:p w14:paraId="6BCC023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当显著危害或控制措施发生变化时，HACCP小组应重新进行危害分析。</w:t>
      </w:r>
    </w:p>
    <w:p w14:paraId="77008DA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应保持CCP确定的依据和文件。当采用其他控制措施控制显著危害时，也应保持相应的依据或文件。</w:t>
      </w:r>
    </w:p>
    <w:p w14:paraId="51FBA6A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 xml:space="preserve">.2  关键限值（critical limit）的确定 </w:t>
      </w:r>
    </w:p>
    <w:p w14:paraId="0914C88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HACCP小组应为每个CCP建立关键限值。一个CCP可以有一个或一个以上的关键限值。</w:t>
      </w:r>
    </w:p>
    <w:p w14:paraId="5803A70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关键限值的设立应科学、直观、易于监测，确保产品的安全危害得到有效控制，而不超过可接受水平。</w:t>
      </w:r>
    </w:p>
    <w:p w14:paraId="42318DF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基于感知的关键限值，应由经评估且能够胜任的人员进行监控、判定。 </w:t>
      </w:r>
    </w:p>
    <w:p w14:paraId="2ABE599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为了防止或减少偏离关键限值，HACCP小组宜建立CCP的操作限值。</w:t>
      </w:r>
    </w:p>
    <w:p w14:paraId="59D7286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应保持关键限值确定依据和结果的记录。</w:t>
      </w:r>
    </w:p>
    <w:p w14:paraId="66B8B8B2">
      <w:pPr>
        <w:pStyle w:val="19"/>
        <w:adjustRightInd w:val="0"/>
        <w:snapToGrid w:val="0"/>
        <w:spacing w:line="594" w:lineRule="exact"/>
        <w:ind w:firstLine="548" w:firstLineChars="200"/>
        <w:rPr>
          <w:rFonts w:ascii="Times New Roman" w:hAnsi="Times New Roman" w:eastAsia="仿宋_GB2312" w:cs="仿宋_GB2312"/>
          <w:sz w:val="28"/>
          <w:szCs w:val="32"/>
        </w:rPr>
      </w:pPr>
      <w:r>
        <w:rPr>
          <w:rFonts w:hint="eastAsia" w:ascii="Times New Roman" w:hAnsi="Times New Roman" w:eastAsia="仿宋_GB2312" w:cs="仿宋_GB2312"/>
          <w:sz w:val="28"/>
          <w:szCs w:val="32"/>
        </w:rPr>
        <w:t>注：关键限值可以是时间、速率、温度、湿度、水分含量、水活度、</w:t>
      </w:r>
      <w:r>
        <w:rPr>
          <w:rFonts w:ascii="Times New Roman" w:hAnsi="Times New Roman" w:eastAsia="仿宋_GB2312" w:cs="仿宋_GB2312"/>
          <w:sz w:val="28"/>
          <w:szCs w:val="32"/>
        </w:rPr>
        <w:t>pH</w:t>
      </w:r>
      <w:r>
        <w:rPr>
          <w:rFonts w:hint="eastAsia" w:ascii="Times New Roman" w:hAnsi="Times New Roman" w:eastAsia="仿宋_GB2312" w:cs="仿宋_GB2312"/>
          <w:sz w:val="28"/>
          <w:szCs w:val="32"/>
        </w:rPr>
        <w:t>、盐分含量等。</w:t>
      </w:r>
    </w:p>
    <w:p w14:paraId="43A2252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.3  CCP的监控</w:t>
      </w:r>
    </w:p>
    <w:p w14:paraId="0C2B207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企业应针对每个CCP制定并实施有效的监控措施，保证CCP处于受控状态；监控措施包括监控对象、监控方法、监控频率及监控人员。</w:t>
      </w:r>
    </w:p>
    <w:p w14:paraId="5D1B675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监控对象应包括每个CCP所涉及的关键限值；监控方法应准确、及时；监控频率一般应实施连续监控，若采用非连续监控时，其频次应能保证CCP受控的需要；监控人员应接受适当的培训，理解监控的目的和重要性，熟悉监控操作并及时准确地记录和报告监控结果。</w:t>
      </w:r>
    </w:p>
    <w:p w14:paraId="13E272C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当监控表明偏离操作限值时，监控人员应及时采取纠偏，以防止关键限值的偏离。</w:t>
      </w:r>
    </w:p>
    <w:p w14:paraId="3702F50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当监控表明偏离关键限值时，监控人员应立即停止该操作步骤的运行，并及时采取纠偏措施。</w:t>
      </w:r>
    </w:p>
    <w:p w14:paraId="6311C5C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应保持监控记录。</w:t>
      </w:r>
    </w:p>
    <w:p w14:paraId="6F297ED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.4  建立关键限值偏离时的纠偏措施</w:t>
      </w:r>
    </w:p>
    <w:p w14:paraId="184CEE3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企业应针对CCP的每个关键限值的偏离制定明确的纠偏措施，以便在偏离时实施。</w:t>
      </w:r>
    </w:p>
    <w:p w14:paraId="39EF5C7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纠偏措施应包括实施纠偏措施和负责受影响产品放行的人员；偏离原因的识别和消除；受影响产品的隔离、评估和处理。纠偏措施应定期进行评审，判断偏离的趋势，确保纠偏措施的有效性。</w:t>
      </w:r>
    </w:p>
    <w:p w14:paraId="014B33A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评估受影响产品的安全性时，可进行生物、化学或物理特性的测量或检验。适当时，可通过外部专家进行评估。若评估结果表明危害处于可接受指标之内，可放行产品至后续操作；否则，应返工、降级、改变用途、废弃等。</w:t>
      </w:r>
    </w:p>
    <w:p w14:paraId="1976863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纠偏人员应熟悉产品、HACCP计划，经过适当培训并经授权。</w:t>
      </w:r>
    </w:p>
    <w:p w14:paraId="70F804F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当某个关键限值的监视结果反复发生偏离或偏离原因涉及相应控制措施的控制能力时，HACCP小组应重新评估相关控制措施的有效性和适宜性，必要时对其予以改进并更新。</w:t>
      </w:r>
    </w:p>
    <w:p w14:paraId="079F6C7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应保持纠偏记录。</w:t>
      </w:r>
    </w:p>
    <w:p w14:paraId="6290D13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4.4  </w:t>
      </w:r>
      <w:r>
        <w:rPr>
          <w:rFonts w:hint="eastAsia" w:ascii="Times New Roman" w:hAnsi="Times New Roman" w:eastAsia="楷体_GB2312" w:cs="仿宋_GB2312"/>
          <w:sz w:val="32"/>
          <w:szCs w:val="32"/>
        </w:rPr>
        <w:t>HACCP计划的确认</w:t>
      </w:r>
    </w:p>
    <w:p w14:paraId="367CB94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企业应对HACCP计划进行确认，确保建立的HACCP计划能持续的将显著危害控制在可接受水平。</w:t>
      </w:r>
    </w:p>
    <w:p w14:paraId="1CBFD6C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在HACCP计划实施前，应对危害识别、CCP、控制措施、CCP监控的方法和频率、纠正措施、验证的方式和频率以及记录方式等要素进行确认，确保这些要素能有效的控制相应的显著危害。</w:t>
      </w:r>
    </w:p>
    <w:p w14:paraId="5A34AC9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建立HACCP计划时，对控制措施和相应的关键限值确认的方式可选择：</w:t>
      </w:r>
    </w:p>
    <w:p w14:paraId="6B14C1F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—实施确认研究；</w:t>
      </w:r>
    </w:p>
    <w:p w14:paraId="249FC21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—科学文献综述；</w:t>
      </w:r>
    </w:p>
    <w:p w14:paraId="4FBC446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—使用权威机构发布的指南；</w:t>
      </w:r>
    </w:p>
    <w:p w14:paraId="094C9DC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—采用数学模型。</w:t>
      </w:r>
    </w:p>
    <w:p w14:paraId="6CFB8FEB">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如HACCP计划为外部专家制定，应确认关键限制是否适用于企业的特定操作条件和产品。</w:t>
      </w:r>
    </w:p>
    <w:p w14:paraId="1E233FD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在HACCP体系初次运行时，应保留相应的记录，以证明在现有的操作条件下HACCP体系能持续达到控制效果。</w:t>
      </w:r>
    </w:p>
    <w:p w14:paraId="7D8970A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当任何可能对食品安全有潜在影响的因素发生变化时，应对HACCP计划进行再次确认。</w:t>
      </w:r>
    </w:p>
    <w:p w14:paraId="1A0C867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4.5 </w:t>
      </w:r>
      <w:r>
        <w:rPr>
          <w:rFonts w:hint="eastAsia" w:ascii="Times New Roman" w:hAnsi="Times New Roman" w:eastAsia="楷体_GB2312" w:cs="仿宋_GB2312"/>
          <w:sz w:val="32"/>
          <w:szCs w:val="32"/>
        </w:rPr>
        <w:t xml:space="preserve"> HACCP体系验证</w:t>
      </w:r>
    </w:p>
    <w:p w14:paraId="27A6D5C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企业应建立验证程序。</w:t>
      </w:r>
    </w:p>
    <w:p w14:paraId="7AED4B5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验证活动应证实：</w:t>
      </w:r>
    </w:p>
    <w:p w14:paraId="29B412B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—HACCP计划得以实施，并持续控制危害；</w:t>
      </w:r>
    </w:p>
    <w:p w14:paraId="4FEBEBA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—控制措施按照预期有效控制相应危害。</w:t>
      </w:r>
    </w:p>
    <w:p w14:paraId="42F5B70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企业应持续开展验证活动以确保HACCP体系能按照预期持续有效运行。</w:t>
      </w:r>
    </w:p>
    <w:p w14:paraId="29E3E46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企业可采用观察、审核（内部或外部）、校准、抽样检测、记录评审等方法实施验证活动。验证活动可包括：</w:t>
      </w:r>
    </w:p>
    <w:p w14:paraId="44A43EE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a）评审监控记录以确定关键控制点处于受控状态；</w:t>
      </w:r>
    </w:p>
    <w:p w14:paraId="7DB6BAB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b）评审纠正措施记录，包括具体的偏离、产品处置和分析，以确定偏离的根本原因；</w:t>
      </w:r>
    </w:p>
    <w:p w14:paraId="6FA0554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c）校准或检查计量器具的准确性；</w:t>
      </w:r>
    </w:p>
    <w:p w14:paraId="407A2F6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d）观察控制措施是否按照HACCP计划实施；</w:t>
      </w:r>
    </w:p>
    <w:p w14:paraId="660F976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e）抽样检测验证产品的安全性；</w:t>
      </w:r>
    </w:p>
    <w:p w14:paraId="33BE236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f）环境采样和检测；</w:t>
      </w:r>
    </w:p>
    <w:p w14:paraId="2D4A6F0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g）HACCP体系审核。</w:t>
      </w:r>
    </w:p>
    <w:p w14:paraId="482BC44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验证不应由实施监控和纠正措施的人员进行。如部分验证活动无法由企业内部实施，可委托具备能力的外部专家或第三方实施。</w:t>
      </w:r>
    </w:p>
    <w:p w14:paraId="78FCF93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应定期对HACCP体系充分性进行评审，适用时进行重新评审。</w:t>
      </w:r>
    </w:p>
    <w:p w14:paraId="1873692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4.6  </w:t>
      </w:r>
      <w:r>
        <w:rPr>
          <w:rFonts w:hint="eastAsia" w:ascii="Times New Roman" w:hAnsi="Times New Roman" w:eastAsia="楷体_GB2312" w:cs="仿宋_GB2312"/>
          <w:sz w:val="32"/>
          <w:szCs w:val="32"/>
        </w:rPr>
        <w:t>HACCP计划记录的保持</w:t>
      </w:r>
    </w:p>
    <w:p w14:paraId="37119AC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应保留HACCP计划建立、运行、验证、更新的记录。</w:t>
      </w:r>
    </w:p>
    <w:p w14:paraId="35929F7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HACCP计划记录的控制应与体系记录的控制一致。</w:t>
      </w:r>
    </w:p>
    <w:p w14:paraId="1FF3703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5  </w:t>
      </w:r>
      <w:r>
        <w:rPr>
          <w:rFonts w:hint="eastAsia" w:ascii="Times New Roman" w:hAnsi="Times New Roman" w:eastAsia="黑体" w:cs="黑体"/>
          <w:sz w:val="32"/>
          <w:szCs w:val="32"/>
        </w:rPr>
        <w:t>持续改进</w:t>
      </w:r>
    </w:p>
    <w:p w14:paraId="4DDC6E6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5.1 </w:t>
      </w:r>
      <w:r>
        <w:rPr>
          <w:rFonts w:hint="eastAsia" w:ascii="Times New Roman" w:hAnsi="Times New Roman" w:eastAsia="楷体_GB2312" w:cs="楷体_GB2312"/>
          <w:sz w:val="32"/>
          <w:szCs w:val="32"/>
        </w:rPr>
        <w:t>不合格和纠正措施</w:t>
      </w:r>
    </w:p>
    <w:p w14:paraId="6FB1379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5.1.1 不合格</w:t>
      </w:r>
    </w:p>
    <w:p w14:paraId="1121377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企业应建立不合格控制程序，该程序应包括退货产品的处置。</w:t>
      </w:r>
    </w:p>
    <w:p w14:paraId="4BE7A86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当发生不合格时，应对不合格做出处置，并在适用时：</w:t>
      </w:r>
    </w:p>
    <w:p w14:paraId="2E04B5B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a）采取措施控制和纠正；</w:t>
      </w:r>
    </w:p>
    <w:p w14:paraId="40755A9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b）处理相关后果。</w:t>
      </w:r>
    </w:p>
    <w:p w14:paraId="5D8BA18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5.1.2 纠正措施</w:t>
      </w:r>
    </w:p>
    <w:p w14:paraId="4A12025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企业通过以下方式评估是否需要采取措施消除不合格的原因，避免其再次发生或在其他地方发生：</w:t>
      </w:r>
    </w:p>
    <w:p w14:paraId="61C9993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a）审查不合格；</w:t>
      </w:r>
    </w:p>
    <w:p w14:paraId="1138211A">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b）确定不合格的原因；</w:t>
      </w:r>
    </w:p>
    <w:p w14:paraId="6F7CCAA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c）确定是否存在或可能发生类似的不合格；</w:t>
      </w:r>
    </w:p>
    <w:p w14:paraId="682726E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d）实施所需的措施；</w:t>
      </w:r>
    </w:p>
    <w:p w14:paraId="6B0C2AF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e）审查采取的纠正措施的有效性；</w:t>
      </w:r>
    </w:p>
    <w:p w14:paraId="1FE55025">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f）必要时对HACCP体系进行变更。</w:t>
      </w:r>
    </w:p>
    <w:p w14:paraId="5870797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纠正措施应与不合格所产生的影响相适应。</w:t>
      </w:r>
    </w:p>
    <w:p w14:paraId="6C573B4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5.1.3 不合格处置</w:t>
      </w:r>
    </w:p>
    <w:p w14:paraId="6BE094B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企业应保留不合格处置记录，以作为以下证据：</w:t>
      </w:r>
    </w:p>
    <w:p w14:paraId="58F092B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a）不合格的性质以及随后采取的措施；</w:t>
      </w:r>
    </w:p>
    <w:p w14:paraId="16C19EE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b）纠正措施的结果。</w:t>
      </w:r>
    </w:p>
    <w:p w14:paraId="1B4B87B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5.2 </w:t>
      </w:r>
      <w:r>
        <w:rPr>
          <w:rFonts w:hint="eastAsia" w:ascii="Times New Roman" w:hAnsi="Times New Roman" w:eastAsia="楷体_GB2312" w:cs="楷体_GB2312"/>
          <w:sz w:val="32"/>
          <w:szCs w:val="32"/>
        </w:rPr>
        <w:t>投诉处理</w:t>
      </w:r>
    </w:p>
    <w:p w14:paraId="0E2A665C">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应建立、实施和保持投诉处理程序，对投诉及投诉信息进行管理，以确保在必要时对投诉进行评估并采取纠正措施。企业应规定负责投诉处理人员的职责权限。</w:t>
      </w:r>
    </w:p>
    <w:p w14:paraId="7F2FB56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应保留投诉处理的记录。</w:t>
      </w:r>
    </w:p>
    <w:p w14:paraId="543F64D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5.3 </w:t>
      </w:r>
      <w:r>
        <w:rPr>
          <w:rFonts w:hint="eastAsia" w:ascii="Times New Roman" w:hAnsi="Times New Roman" w:eastAsia="楷体_GB2312" w:cs="楷体_GB2312"/>
          <w:sz w:val="32"/>
          <w:szCs w:val="32"/>
        </w:rPr>
        <w:t>内部审核</w:t>
      </w:r>
    </w:p>
    <w:p w14:paraId="3D9B875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企业应建立HACCP体系的内部审核程序，并按策划的时间间隔进行内部审核，以确定HACCP体系是否符合要求，并得到有效实施、保持和更新。</w:t>
      </w:r>
    </w:p>
    <w:p w14:paraId="2BEFD41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考虑拟审核的过程、区域的状况和重要性以及以往审核的结果，应对审核方案进行策划，以规定审核的准则、范围、频次和方法。</w:t>
      </w:r>
    </w:p>
    <w:p w14:paraId="7F0C459A">
      <w:pPr>
        <w:pStyle w:val="19"/>
        <w:adjustRightInd w:val="0"/>
        <w:snapToGrid w:val="0"/>
        <w:spacing w:line="594"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内部审核员的选择和审核的实施应确保审核过程的客观性和公正性，内部审核员不应审核自己的工作。</w:t>
      </w:r>
    </w:p>
    <w:p w14:paraId="108A81E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负责受审区域的管理者应确保及时采取措施，以消除所发现的不符合项及其原因。跟踪活动应包括对所采取措施的验证和验证结果的报告。</w:t>
      </w:r>
    </w:p>
    <w:p w14:paraId="3BEE083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应保留内部审核记录。</w:t>
      </w:r>
    </w:p>
    <w:p w14:paraId="22E9B4E9">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5.4 </w:t>
      </w:r>
      <w:r>
        <w:rPr>
          <w:rFonts w:hint="eastAsia" w:ascii="Times New Roman" w:hAnsi="Times New Roman" w:eastAsia="楷体_GB2312" w:cs="楷体_GB2312"/>
          <w:sz w:val="32"/>
          <w:szCs w:val="32"/>
        </w:rPr>
        <w:t>管理评审</w:t>
      </w:r>
    </w:p>
    <w:p w14:paraId="72975C43">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5.4.1 总则</w:t>
      </w:r>
    </w:p>
    <w:p w14:paraId="0253A35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最高管理者应按策划的时间间隔评审HACCP体系，以确保其持续的适宜性、充分性和有效性；评审应包括HACCP体系改进的需要，包括食品安全方针。</w:t>
      </w:r>
    </w:p>
    <w:p w14:paraId="2B2FA07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应保留管理评审的记录。</w:t>
      </w:r>
    </w:p>
    <w:p w14:paraId="42FF759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5.4.2 评审输入</w:t>
      </w:r>
    </w:p>
    <w:p w14:paraId="556A0BA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管理评审输入应包括但不限于以下信息：</w:t>
      </w:r>
    </w:p>
    <w:p w14:paraId="6FBFC21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a）以往管理评审的跟踪措施； </w:t>
      </w:r>
    </w:p>
    <w:p w14:paraId="5571152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b）HACCP体系验证结果；</w:t>
      </w:r>
    </w:p>
    <w:p w14:paraId="2D2E6D6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c）可能影响食品安全的变化因素；</w:t>
      </w:r>
    </w:p>
    <w:p w14:paraId="728A938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d）紧急情况、食品安全事故和召回；</w:t>
      </w:r>
    </w:p>
    <w:p w14:paraId="351A931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e）包括顾客反馈的沟通活动的评审；</w:t>
      </w:r>
    </w:p>
    <w:p w14:paraId="6D32E43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f）外部审核或检验结果；</w:t>
      </w:r>
    </w:p>
    <w:p w14:paraId="42DA9E2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g）合规义务的评价结果。</w:t>
      </w:r>
    </w:p>
    <w:p w14:paraId="78A1596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提交给最高管理者的信息的形式，应能使其理解所含信息与已声明的HACCP体系目标之间的关系。</w:t>
      </w:r>
    </w:p>
    <w:p w14:paraId="7F09856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5.4.3 评审输出</w:t>
      </w:r>
    </w:p>
    <w:p w14:paraId="688DD3E6">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管理评审输出的决定和措施应与以下方面有关：</w:t>
      </w:r>
    </w:p>
    <w:p w14:paraId="0BF38BB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a）食品安全保证；</w:t>
      </w:r>
    </w:p>
    <w:p w14:paraId="2094AA40">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b）HACCP体系有效性的改进；</w:t>
      </w:r>
    </w:p>
    <w:p w14:paraId="39987EB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c）资源需求； </w:t>
      </w:r>
    </w:p>
    <w:p w14:paraId="1FD504A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d）组织食品安全方针和相关目标的修订。</w:t>
      </w:r>
    </w:p>
    <w:p w14:paraId="482771B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应保留管理评审结果的记录。</w:t>
      </w:r>
    </w:p>
    <w:p w14:paraId="7A3A582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5.5 </w:t>
      </w:r>
      <w:r>
        <w:rPr>
          <w:rFonts w:hint="eastAsia" w:ascii="Times New Roman" w:hAnsi="Times New Roman" w:eastAsia="楷体_GB2312" w:cs="楷体_GB2312"/>
          <w:sz w:val="32"/>
          <w:szCs w:val="32"/>
        </w:rPr>
        <w:t>持续改进</w:t>
      </w:r>
    </w:p>
    <w:p w14:paraId="32BA461D">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企业应不断提高HACCP体系的适宜性、充分性和有效性。</w:t>
      </w:r>
    </w:p>
    <w:p w14:paraId="4D533C98">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最高管理者应确保企业通过沟通、内部审核、管理评审和纠正措施等不断提高HACCP体系的有效性。</w:t>
      </w:r>
    </w:p>
    <w:p w14:paraId="4B773349">
      <w:pPr>
        <w:pStyle w:val="19"/>
        <w:adjustRightInd w:val="0"/>
        <w:snapToGrid w:val="0"/>
        <w:spacing w:line="594" w:lineRule="exact"/>
        <w:rPr>
          <w:rFonts w:eastAsia="仿宋_GB2312" w:cs="仿宋_GB2312"/>
          <w:sz w:val="32"/>
          <w:szCs w:val="32"/>
        </w:rPr>
      </w:pPr>
      <w:r>
        <w:rPr>
          <w:rFonts w:ascii="Times New Roman" w:hAnsi="Times New Roman" w:eastAsia="仿宋_GB2312" w:cs="仿宋_GB2312"/>
          <w:sz w:val="32"/>
          <w:szCs w:val="32"/>
        </w:rPr>
        <w:t xml:space="preserve"> </w:t>
      </w:r>
    </w:p>
    <w:p w14:paraId="724AAF89">
      <w:pPr>
        <w:keepNext/>
        <w:keepLines/>
        <w:spacing w:line="594" w:lineRule="exact"/>
        <w:rPr>
          <w:rFonts w:ascii="Times New Roman" w:hAnsi="Times New Roman" w:eastAsia="黑体" w:cs="宋体"/>
          <w:color w:val="0D0D0D"/>
          <w:spacing w:val="20"/>
          <w:sz w:val="44"/>
          <w:szCs w:val="44"/>
        </w:rPr>
      </w:pPr>
      <w:r>
        <w:rPr>
          <w:rFonts w:ascii="Times New Roman" w:hAnsi="Times New Roman" w:eastAsia="黑体" w:cs="宋体"/>
          <w:color w:val="0D0D0D"/>
          <w:spacing w:val="20"/>
          <w:sz w:val="32"/>
          <w:szCs w:val="32"/>
        </w:rPr>
        <w:t>附录A</w:t>
      </w:r>
      <w:r>
        <w:rPr>
          <w:rFonts w:ascii="Times New Roman" w:hAnsi="Times New Roman" w:eastAsia="黑体" w:cs="宋体"/>
          <w:color w:val="0D0D0D"/>
          <w:spacing w:val="20"/>
          <w:sz w:val="44"/>
          <w:szCs w:val="44"/>
        </w:rPr>
        <w:t xml:space="preserve"> </w:t>
      </w:r>
    </w:p>
    <w:p w14:paraId="66CDB9D1">
      <w:pPr>
        <w:spacing w:line="594" w:lineRule="exact"/>
        <w:jc w:val="center"/>
        <w:rPr>
          <w:rFonts w:ascii="Times New Roman" w:hAnsi="Times New Roman" w:eastAsia="方正小标宋简体" w:cs="宋体"/>
          <w:color w:val="0D0D0D"/>
          <w:spacing w:val="23"/>
          <w:sz w:val="44"/>
          <w:szCs w:val="44"/>
        </w:rPr>
      </w:pPr>
      <w:r>
        <w:rPr>
          <w:rFonts w:ascii="Times New Roman" w:hAnsi="Times New Roman" w:eastAsia="方正小标宋简体" w:cs="宋体"/>
          <w:color w:val="0D0D0D"/>
          <w:spacing w:val="23"/>
          <w:sz w:val="44"/>
          <w:szCs w:val="44"/>
        </w:rPr>
        <w:t>（规范性附录）</w:t>
      </w:r>
    </w:p>
    <w:p w14:paraId="6AEC3E74">
      <w:pPr>
        <w:spacing w:line="594" w:lineRule="exact"/>
        <w:jc w:val="center"/>
        <w:rPr>
          <w:rFonts w:ascii="Times New Roman" w:hAnsi="Times New Roman" w:eastAsia="方正小标宋简体" w:cs="宋体"/>
          <w:color w:val="0D0D0D"/>
          <w:spacing w:val="23"/>
          <w:sz w:val="44"/>
          <w:szCs w:val="44"/>
        </w:rPr>
      </w:pPr>
      <w:r>
        <w:rPr>
          <w:rFonts w:ascii="Times New Roman" w:hAnsi="Times New Roman" w:eastAsia="方正小标宋简体" w:cs="宋体"/>
          <w:color w:val="0D0D0D"/>
          <w:spacing w:val="23"/>
          <w:sz w:val="44"/>
          <w:szCs w:val="44"/>
        </w:rPr>
        <w:t>企业良好卫生规范要求</w:t>
      </w:r>
    </w:p>
    <w:p w14:paraId="7805EFC6">
      <w:pPr>
        <w:spacing w:line="594" w:lineRule="exact"/>
        <w:rPr>
          <w:rFonts w:eastAsia="Times New Roman"/>
          <w:color w:val="0D0D0D"/>
          <w:sz w:val="44"/>
          <w:szCs w:val="44"/>
        </w:rPr>
      </w:pPr>
    </w:p>
    <w:p w14:paraId="3D1E92DA">
      <w:pPr>
        <w:spacing w:line="594" w:lineRule="exact"/>
        <w:ind w:firstLine="399"/>
        <w:rPr>
          <w:rFonts w:eastAsia="仿宋_GB2312" w:cs="仿宋_GB2312"/>
          <w:sz w:val="32"/>
          <w:szCs w:val="32"/>
        </w:rPr>
      </w:pPr>
      <w:r>
        <w:rPr>
          <w:rFonts w:eastAsia="仿宋_GB2312" w:cs="仿宋_GB2312"/>
          <w:sz w:val="32"/>
          <w:szCs w:val="32"/>
        </w:rPr>
        <w:t>1.</w:t>
      </w:r>
      <w:r>
        <w:rPr>
          <w:rFonts w:hint="eastAsia" w:ascii="Times New Roman" w:hAnsi="Times New Roman" w:eastAsia="黑体" w:cs="黑体"/>
          <w:sz w:val="32"/>
          <w:szCs w:val="32"/>
        </w:rPr>
        <w:t>通用要求</w:t>
      </w:r>
    </w:p>
    <w:p w14:paraId="6A2357CA">
      <w:pPr>
        <w:spacing w:line="594" w:lineRule="exact"/>
        <w:ind w:firstLine="0"/>
        <w:jc w:val="center"/>
        <w:rPr>
          <w:rFonts w:eastAsia="仿宋_GB2312" w:cs="仿宋_GB2312"/>
          <w:sz w:val="32"/>
          <w:szCs w:val="32"/>
        </w:rPr>
      </w:pPr>
      <w:r>
        <w:rPr>
          <w:rFonts w:hint="eastAsia" w:eastAsia="仿宋_GB2312" w:cs="仿宋_GB2312"/>
          <w:sz w:val="32"/>
          <w:szCs w:val="32"/>
        </w:rPr>
        <w:t xml:space="preserve">表A.1 </w:t>
      </w:r>
      <w:r>
        <w:rPr>
          <w:rFonts w:ascii="Times New Roman" w:hAnsi="Times New Roman" w:eastAsia="仿宋_GB2312" w:cs="仿宋_GB2312"/>
          <w:color w:val="auto"/>
          <w:spacing w:val="0"/>
          <w:sz w:val="32"/>
          <w:szCs w:val="32"/>
        </w:rPr>
        <w:t>良好卫生规范</w:t>
      </w:r>
      <w:r>
        <w:rPr>
          <w:rFonts w:hint="eastAsia" w:eastAsia="仿宋_GB2312" w:cs="仿宋_GB2312"/>
          <w:sz w:val="32"/>
          <w:szCs w:val="32"/>
        </w:rPr>
        <w:t>通用要求</w:t>
      </w:r>
    </w:p>
    <w:tbl>
      <w:tblPr>
        <w:tblStyle w:val="13"/>
        <w:tblW w:w="9174" w:type="dxa"/>
        <w:jc w:val="center"/>
        <w:tblLayout w:type="fixed"/>
        <w:tblCellMar>
          <w:top w:w="0" w:type="dxa"/>
          <w:left w:w="10" w:type="dxa"/>
          <w:bottom w:w="0" w:type="dxa"/>
          <w:right w:w="10" w:type="dxa"/>
        </w:tblCellMar>
      </w:tblPr>
      <w:tblGrid>
        <w:gridCol w:w="877"/>
        <w:gridCol w:w="1431"/>
        <w:gridCol w:w="6866"/>
      </w:tblGrid>
      <w:tr w14:paraId="28DF0119">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EC372">
            <w:pPr>
              <w:spacing w:line="594" w:lineRule="exact"/>
              <w:jc w:val="center"/>
              <w:rPr>
                <w:rFonts w:eastAsia="仿宋_GB2312" w:cs="仿宋_GB2312"/>
                <w:sz w:val="32"/>
                <w:szCs w:val="32"/>
              </w:rPr>
            </w:pPr>
            <w:r>
              <w:rPr>
                <w:rFonts w:eastAsia="仿宋_GB2312" w:cs="仿宋_GB2312"/>
                <w:sz w:val="32"/>
                <w:szCs w:val="32"/>
              </w:rPr>
              <w:t>序号</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3E9B78">
            <w:pPr>
              <w:spacing w:line="594" w:lineRule="exact"/>
              <w:jc w:val="center"/>
              <w:rPr>
                <w:rFonts w:eastAsia="仿宋_GB2312" w:cs="仿宋_GB2312"/>
                <w:sz w:val="32"/>
                <w:szCs w:val="32"/>
              </w:rPr>
            </w:pPr>
            <w:r>
              <w:rPr>
                <w:rFonts w:eastAsia="仿宋_GB2312" w:cs="仿宋_GB2312"/>
                <w:sz w:val="32"/>
                <w:szCs w:val="32"/>
              </w:rPr>
              <w:t>项目</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F9568">
            <w:pPr>
              <w:spacing w:line="594" w:lineRule="exact"/>
              <w:jc w:val="center"/>
              <w:rPr>
                <w:rFonts w:eastAsia="仿宋_GB2312" w:cs="仿宋_GB2312"/>
                <w:sz w:val="32"/>
                <w:szCs w:val="32"/>
              </w:rPr>
            </w:pPr>
            <w:r>
              <w:rPr>
                <w:rFonts w:eastAsia="仿宋_GB2312" w:cs="仿宋_GB2312"/>
                <w:sz w:val="32"/>
                <w:szCs w:val="32"/>
              </w:rPr>
              <w:t>内容</w:t>
            </w:r>
          </w:p>
        </w:tc>
      </w:tr>
      <w:tr w14:paraId="7E505371">
        <w:tblPrEx>
          <w:tblCellMar>
            <w:top w:w="0" w:type="dxa"/>
            <w:left w:w="10" w:type="dxa"/>
            <w:bottom w:w="0" w:type="dxa"/>
            <w:right w:w="1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6A3E64">
            <w:pPr>
              <w:spacing w:line="594" w:lineRule="exact"/>
              <w:jc w:val="center"/>
              <w:rPr>
                <w:rFonts w:eastAsia="仿宋_GB2312" w:cs="仿宋_GB2312"/>
                <w:sz w:val="32"/>
                <w:szCs w:val="32"/>
              </w:rPr>
            </w:pPr>
            <w:r>
              <w:rPr>
                <w:rFonts w:eastAsia="仿宋_GB2312" w:cs="仿宋_GB2312"/>
                <w:sz w:val="32"/>
                <w:szCs w:val="32"/>
              </w:rPr>
              <w:t>1</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6C888">
            <w:pPr>
              <w:spacing w:line="594" w:lineRule="exact"/>
              <w:jc w:val="center"/>
              <w:rPr>
                <w:rFonts w:eastAsia="仿宋_GB2312" w:cs="仿宋_GB2312"/>
                <w:sz w:val="32"/>
                <w:szCs w:val="32"/>
              </w:rPr>
            </w:pPr>
            <w:r>
              <w:rPr>
                <w:rFonts w:eastAsia="仿宋_GB2312" w:cs="仿宋_GB2312"/>
                <w:sz w:val="32"/>
                <w:szCs w:val="32"/>
              </w:rPr>
              <w:t>场所及周边环境</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F2C33E">
            <w:pPr>
              <w:spacing w:line="594" w:lineRule="exact"/>
              <w:ind w:firstLine="628" w:firstLineChars="200"/>
              <w:rPr>
                <w:rFonts w:eastAsia="仿宋_GB2312" w:cs="仿宋_GB2312"/>
                <w:sz w:val="32"/>
                <w:szCs w:val="32"/>
              </w:rPr>
            </w:pPr>
            <w:r>
              <w:rPr>
                <w:rFonts w:eastAsia="仿宋_GB2312" w:cs="仿宋_GB2312"/>
                <w:sz w:val="32"/>
                <w:szCs w:val="32"/>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14:paraId="1F6F1320">
            <w:pPr>
              <w:spacing w:line="594" w:lineRule="exact"/>
              <w:ind w:firstLine="628" w:firstLineChars="200"/>
              <w:rPr>
                <w:rFonts w:eastAsia="仿宋_GB2312" w:cs="仿宋_GB2312"/>
                <w:sz w:val="32"/>
                <w:szCs w:val="32"/>
              </w:rPr>
            </w:pPr>
            <w:r>
              <w:rPr>
                <w:rFonts w:eastAsia="仿宋_GB2312" w:cs="仿宋_GB2312"/>
                <w:sz w:val="32"/>
                <w:szCs w:val="32"/>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r>
      <w:tr w14:paraId="18FBE8D8">
        <w:tblPrEx>
          <w:tblCellMar>
            <w:top w:w="0" w:type="dxa"/>
            <w:left w:w="10" w:type="dxa"/>
            <w:bottom w:w="0" w:type="dxa"/>
            <w:right w:w="1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EACFBB">
            <w:pPr>
              <w:spacing w:line="594" w:lineRule="exact"/>
              <w:jc w:val="center"/>
              <w:rPr>
                <w:rFonts w:eastAsia="仿宋_GB2312" w:cs="仿宋_GB2312"/>
                <w:sz w:val="32"/>
                <w:szCs w:val="32"/>
              </w:rPr>
            </w:pPr>
            <w:r>
              <w:rPr>
                <w:rFonts w:eastAsia="仿宋_GB2312" w:cs="仿宋_GB2312"/>
                <w:sz w:val="32"/>
                <w:szCs w:val="32"/>
              </w:rPr>
              <w:t>2</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9BD147">
            <w:pPr>
              <w:spacing w:line="594" w:lineRule="exact"/>
              <w:jc w:val="center"/>
              <w:rPr>
                <w:rFonts w:eastAsia="仿宋_GB2312" w:cs="仿宋_GB2312"/>
                <w:sz w:val="32"/>
                <w:szCs w:val="32"/>
              </w:rPr>
            </w:pPr>
            <w:r>
              <w:rPr>
                <w:rFonts w:eastAsia="仿宋_GB2312" w:cs="仿宋_GB2312"/>
                <w:sz w:val="32"/>
                <w:szCs w:val="32"/>
              </w:rPr>
              <w:t>场所设计、建造、布局</w:t>
            </w:r>
          </w:p>
          <w:p w14:paraId="3F09FF02">
            <w:pPr>
              <w:spacing w:line="594" w:lineRule="exact"/>
              <w:jc w:val="center"/>
              <w:rPr>
                <w:rFonts w:eastAsia="仿宋_GB2312" w:cs="仿宋_GB2312"/>
                <w:sz w:val="32"/>
                <w:szCs w:val="32"/>
              </w:rPr>
            </w:pPr>
            <w:r>
              <w:rPr>
                <w:rFonts w:eastAsia="仿宋_GB2312" w:cs="仿宋_GB2312"/>
                <w:sz w:val="32"/>
                <w:szCs w:val="32"/>
              </w:rPr>
              <w:t>和操作流程</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D116D8">
            <w:pPr>
              <w:spacing w:line="594" w:lineRule="exact"/>
              <w:ind w:firstLine="628" w:firstLineChars="200"/>
              <w:rPr>
                <w:rFonts w:eastAsia="仿宋_GB2312" w:cs="仿宋_GB2312"/>
                <w:sz w:val="32"/>
                <w:szCs w:val="32"/>
              </w:rPr>
            </w:pPr>
            <w:r>
              <w:rPr>
                <w:rFonts w:eastAsia="仿宋_GB2312" w:cs="仿宋_GB2312"/>
                <w:sz w:val="32"/>
                <w:szCs w:val="32"/>
              </w:rPr>
              <w:t>应合理划分各功能区域，并设计适当的分离或分隔措施，防止交叉污染。</w:t>
            </w:r>
          </w:p>
          <w:p w14:paraId="1388FE7A">
            <w:pPr>
              <w:spacing w:line="594" w:lineRule="exact"/>
              <w:ind w:firstLine="625" w:firstLineChars="199"/>
              <w:rPr>
                <w:rFonts w:eastAsia="仿宋_GB2312" w:cs="仿宋_GB2312"/>
                <w:sz w:val="32"/>
                <w:szCs w:val="32"/>
              </w:rPr>
            </w:pPr>
            <w:r>
              <w:rPr>
                <w:rFonts w:eastAsia="仿宋_GB2312" w:cs="仿宋_GB2312"/>
                <w:sz w:val="32"/>
                <w:szCs w:val="32"/>
              </w:rPr>
              <w:t>应根据生产工艺合理布局，预防和降低产品受污染的风险。</w:t>
            </w:r>
          </w:p>
          <w:p w14:paraId="1713CCE6">
            <w:pPr>
              <w:spacing w:line="594" w:lineRule="exact"/>
              <w:ind w:firstLine="625" w:firstLineChars="199"/>
              <w:rPr>
                <w:rFonts w:eastAsia="仿宋_GB2312" w:cs="仿宋_GB2312"/>
                <w:sz w:val="32"/>
                <w:szCs w:val="32"/>
              </w:rPr>
            </w:pPr>
            <w:r>
              <w:rPr>
                <w:rFonts w:eastAsia="仿宋_GB2312" w:cs="仿宋_GB2312"/>
                <w:sz w:val="32"/>
                <w:szCs w:val="32"/>
              </w:rPr>
              <w:t>内部设计和布局应满足食品卫生操作要求，避免在食品生产中发生交叉污染。</w:t>
            </w:r>
          </w:p>
          <w:p w14:paraId="1A809005">
            <w:pPr>
              <w:spacing w:line="594" w:lineRule="exact"/>
              <w:ind w:firstLine="719" w:firstLineChars="229"/>
              <w:rPr>
                <w:rFonts w:eastAsia="仿宋_GB2312" w:cs="仿宋_GB2312"/>
                <w:sz w:val="32"/>
                <w:szCs w:val="32"/>
              </w:rPr>
            </w:pPr>
            <w:r>
              <w:rPr>
                <w:rFonts w:eastAsia="仿宋_GB2312" w:cs="仿宋_GB2312"/>
                <w:sz w:val="32"/>
                <w:szCs w:val="32"/>
              </w:rPr>
              <w:t>应根据产品特点、生产工艺及生产过程对清洁程度的要求，合理划分作业区，并采取有效分离或分隔。</w:t>
            </w:r>
          </w:p>
          <w:p w14:paraId="24062178">
            <w:pPr>
              <w:spacing w:line="594" w:lineRule="exact"/>
              <w:ind w:firstLine="625" w:firstLineChars="199"/>
              <w:rPr>
                <w:rFonts w:eastAsia="仿宋_GB2312" w:cs="仿宋_GB2312"/>
                <w:sz w:val="32"/>
                <w:szCs w:val="32"/>
              </w:rPr>
            </w:pPr>
            <w:r>
              <w:rPr>
                <w:rFonts w:eastAsia="仿宋_GB2312" w:cs="仿宋_GB2312"/>
                <w:sz w:val="32"/>
                <w:szCs w:val="32"/>
              </w:rPr>
              <w:t>应按设计要求进行施工和维护。如果需要根据实际情况变更，应按将食品安全风险降至最低原则进行。</w:t>
            </w:r>
          </w:p>
          <w:p w14:paraId="1B2F6370">
            <w:pPr>
              <w:spacing w:line="594" w:lineRule="exact"/>
              <w:ind w:firstLine="625" w:firstLineChars="199"/>
              <w:rPr>
                <w:rFonts w:eastAsia="仿宋_GB2312" w:cs="仿宋_GB2312"/>
                <w:sz w:val="32"/>
                <w:szCs w:val="32"/>
              </w:rPr>
            </w:pPr>
            <w:r>
              <w:rPr>
                <w:rFonts w:eastAsia="仿宋_GB2312" w:cs="仿宋_GB2312"/>
                <w:sz w:val="32"/>
                <w:szCs w:val="32"/>
              </w:rPr>
              <w:t>临时或可移动的食品生产经营场所、设施的位置、设计及建造，应尽量避免虫害孳生及食品受到污染。</w:t>
            </w:r>
          </w:p>
        </w:tc>
      </w:tr>
      <w:tr w14:paraId="06BC196A">
        <w:tblPrEx>
          <w:tblCellMar>
            <w:top w:w="0" w:type="dxa"/>
            <w:left w:w="10" w:type="dxa"/>
            <w:bottom w:w="0" w:type="dxa"/>
            <w:right w:w="1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9297C">
            <w:pPr>
              <w:spacing w:line="594" w:lineRule="exact"/>
              <w:jc w:val="center"/>
              <w:rPr>
                <w:rFonts w:eastAsia="仿宋_GB2312" w:cs="仿宋_GB2312"/>
                <w:sz w:val="32"/>
                <w:szCs w:val="32"/>
              </w:rPr>
            </w:pPr>
            <w:r>
              <w:rPr>
                <w:rFonts w:eastAsia="仿宋_GB2312" w:cs="仿宋_GB2312"/>
                <w:sz w:val="32"/>
                <w:szCs w:val="32"/>
              </w:rPr>
              <w:t>3</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A01643">
            <w:pPr>
              <w:spacing w:line="594" w:lineRule="exact"/>
              <w:jc w:val="center"/>
              <w:rPr>
                <w:rFonts w:eastAsia="仿宋_GB2312" w:cs="仿宋_GB2312"/>
                <w:sz w:val="32"/>
                <w:szCs w:val="32"/>
              </w:rPr>
            </w:pPr>
            <w:r>
              <w:rPr>
                <w:rFonts w:eastAsia="仿宋_GB2312" w:cs="仿宋_GB2312"/>
                <w:sz w:val="32"/>
                <w:szCs w:val="32"/>
              </w:rPr>
              <w:t>库存</w:t>
            </w:r>
          </w:p>
          <w:p w14:paraId="26460F71">
            <w:pPr>
              <w:spacing w:line="594" w:lineRule="exact"/>
              <w:jc w:val="center"/>
              <w:rPr>
                <w:rFonts w:eastAsia="仿宋_GB2312" w:cs="仿宋_GB2312"/>
                <w:sz w:val="32"/>
                <w:szCs w:val="32"/>
              </w:rPr>
            </w:pPr>
            <w:r>
              <w:rPr>
                <w:rFonts w:eastAsia="仿宋_GB2312" w:cs="仿宋_GB2312"/>
                <w:sz w:val="32"/>
                <w:szCs w:val="32"/>
              </w:rPr>
              <w:t>管理</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0B1800">
            <w:pPr>
              <w:spacing w:line="594" w:lineRule="exact"/>
              <w:ind w:firstLine="628" w:firstLineChars="200"/>
              <w:rPr>
                <w:rFonts w:eastAsia="仿宋_GB2312" w:cs="仿宋_GB2312"/>
                <w:sz w:val="32"/>
                <w:szCs w:val="32"/>
              </w:rPr>
            </w:pPr>
            <w:r>
              <w:rPr>
                <w:rFonts w:eastAsia="仿宋_GB2312" w:cs="仿宋_GB2312"/>
                <w:sz w:val="32"/>
                <w:szCs w:val="32"/>
              </w:rPr>
              <w:t>应建立、实施和保持仓库管理规程，以</w:t>
            </w:r>
            <w:r>
              <w:rPr>
                <w:rFonts w:hint="eastAsia" w:eastAsia="仿宋_GB2312" w:cs="仿宋_GB2312"/>
                <w:sz w:val="32"/>
                <w:szCs w:val="32"/>
              </w:rPr>
              <w:t>“</w:t>
            </w:r>
            <w:r>
              <w:rPr>
                <w:rFonts w:eastAsia="仿宋_GB2312" w:cs="仿宋_GB2312"/>
                <w:sz w:val="32"/>
                <w:szCs w:val="32"/>
              </w:rPr>
              <w:t>先进先出</w:t>
            </w:r>
            <w:r>
              <w:rPr>
                <w:rFonts w:hint="eastAsia" w:eastAsia="仿宋_GB2312" w:cs="仿宋_GB2312"/>
                <w:sz w:val="32"/>
                <w:szCs w:val="32"/>
              </w:rPr>
              <w:t>”</w:t>
            </w:r>
            <w:r>
              <w:rPr>
                <w:rFonts w:eastAsia="仿宋_GB2312" w:cs="仿宋_GB2312"/>
                <w:sz w:val="32"/>
                <w:szCs w:val="32"/>
              </w:rPr>
              <w:t>和</w:t>
            </w:r>
            <w:r>
              <w:rPr>
                <w:rFonts w:hint="eastAsia" w:eastAsia="仿宋_GB2312" w:cs="仿宋_GB2312"/>
                <w:sz w:val="32"/>
                <w:szCs w:val="32"/>
              </w:rPr>
              <w:t>“</w:t>
            </w:r>
            <w:r>
              <w:rPr>
                <w:rFonts w:eastAsia="仿宋_GB2312" w:cs="仿宋_GB2312"/>
                <w:sz w:val="32"/>
                <w:szCs w:val="32"/>
              </w:rPr>
              <w:t>有效期优先</w:t>
            </w:r>
            <w:r>
              <w:rPr>
                <w:rFonts w:hint="eastAsia" w:eastAsia="仿宋_GB2312" w:cs="仿宋_GB2312"/>
                <w:sz w:val="32"/>
                <w:szCs w:val="32"/>
              </w:rPr>
              <w:t>”</w:t>
            </w:r>
            <w:r>
              <w:rPr>
                <w:rFonts w:eastAsia="仿宋_GB2312" w:cs="仿宋_GB2312"/>
                <w:sz w:val="32"/>
                <w:szCs w:val="32"/>
              </w:rPr>
              <w:t>的原则控制物料出库顺序。</w:t>
            </w:r>
          </w:p>
          <w:p w14:paraId="3C4CF787">
            <w:pPr>
              <w:spacing w:line="594" w:lineRule="exact"/>
              <w:ind w:firstLine="628" w:firstLineChars="200"/>
              <w:rPr>
                <w:rFonts w:eastAsia="仿宋_GB2312" w:cs="仿宋_GB2312"/>
                <w:sz w:val="32"/>
                <w:szCs w:val="32"/>
              </w:rPr>
            </w:pPr>
            <w:r>
              <w:rPr>
                <w:rFonts w:eastAsia="仿宋_GB2312" w:cs="仿宋_GB2312"/>
                <w:sz w:val="32"/>
                <w:szCs w:val="32"/>
              </w:rPr>
              <w:t>对原料、食品添加剂、食品相关产品、半成品、成品的存放仓库进行管理。定期检查库存产品的质量和卫生情况，及时清理变质或超过保质期的库存。</w:t>
            </w:r>
          </w:p>
        </w:tc>
      </w:tr>
      <w:tr w14:paraId="6BDEF692">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BE7A3C">
            <w:pPr>
              <w:spacing w:line="594" w:lineRule="exact"/>
              <w:jc w:val="center"/>
              <w:rPr>
                <w:rFonts w:eastAsia="仿宋_GB2312" w:cs="仿宋_GB2312"/>
                <w:sz w:val="32"/>
                <w:szCs w:val="32"/>
              </w:rPr>
            </w:pPr>
            <w:r>
              <w:rPr>
                <w:rFonts w:eastAsia="仿宋_GB2312" w:cs="仿宋_GB2312"/>
                <w:sz w:val="32"/>
                <w:szCs w:val="32"/>
              </w:rPr>
              <w:t>4</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5A7B2A">
            <w:pPr>
              <w:spacing w:line="594" w:lineRule="exact"/>
              <w:jc w:val="center"/>
              <w:rPr>
                <w:rFonts w:eastAsia="仿宋_GB2312" w:cs="仿宋_GB2312"/>
                <w:sz w:val="32"/>
                <w:szCs w:val="32"/>
              </w:rPr>
            </w:pPr>
            <w:r>
              <w:rPr>
                <w:rFonts w:eastAsia="仿宋_GB2312" w:cs="仿宋_GB2312"/>
                <w:sz w:val="32"/>
                <w:szCs w:val="32"/>
              </w:rPr>
              <w:t>空气和水质</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D82A4D">
            <w:pPr>
              <w:spacing w:line="594" w:lineRule="exact"/>
              <w:ind w:firstLine="628" w:firstLineChars="200"/>
              <w:rPr>
                <w:rFonts w:eastAsia="仿宋_GB2312" w:cs="仿宋_GB2312"/>
                <w:sz w:val="32"/>
                <w:szCs w:val="32"/>
              </w:rPr>
            </w:pPr>
            <w:r>
              <w:rPr>
                <w:rFonts w:eastAsia="仿宋_GB2312" w:cs="仿宋_GB2312"/>
                <w:sz w:val="32"/>
                <w:szCs w:val="32"/>
              </w:rPr>
              <w:t>食品生产/经营涉及到的水（包括冰和蒸汽）和空气（包括压缩气体）应符合以下要求：</w:t>
            </w:r>
          </w:p>
          <w:p w14:paraId="02478D0A">
            <w:pPr>
              <w:spacing w:line="594" w:lineRule="exact"/>
              <w:ind w:firstLine="628" w:firstLineChars="200"/>
              <w:rPr>
                <w:rFonts w:eastAsia="仿宋_GB2312" w:cs="仿宋_GB2312"/>
                <w:sz w:val="32"/>
                <w:szCs w:val="32"/>
              </w:rPr>
            </w:pPr>
            <w:r>
              <w:rPr>
                <w:rFonts w:eastAsia="仿宋_GB2312" w:cs="仿宋_GB2312"/>
                <w:sz w:val="32"/>
                <w:szCs w:val="32"/>
              </w:rPr>
              <w:t>水、冰、蒸汽储存和处理的方式、产生的与接触食物的蒸汽、蒸发和过滤的回收用水不应导致食品污染。</w:t>
            </w:r>
          </w:p>
          <w:p w14:paraId="2A44FC92">
            <w:pPr>
              <w:spacing w:line="594" w:lineRule="exact"/>
              <w:ind w:firstLine="719" w:firstLineChars="229"/>
              <w:rPr>
                <w:rFonts w:eastAsia="仿宋_GB2312" w:cs="仿宋_GB2312"/>
                <w:sz w:val="32"/>
                <w:szCs w:val="32"/>
              </w:rPr>
            </w:pPr>
            <w:r>
              <w:rPr>
                <w:rFonts w:eastAsia="仿宋_GB2312" w:cs="仿宋_GB2312"/>
                <w:sz w:val="32"/>
                <w:szCs w:val="32"/>
              </w:rPr>
              <w:t>食品加工用水的水质应符合生活饮用水卫生标准。食品对加工用水水质有特殊要求的，应符合相应规定。</w:t>
            </w:r>
          </w:p>
          <w:p w14:paraId="048E8A19">
            <w:pPr>
              <w:spacing w:line="594" w:lineRule="exact"/>
              <w:ind w:firstLine="719" w:firstLineChars="229"/>
              <w:rPr>
                <w:rFonts w:eastAsia="仿宋_GB2312" w:cs="仿宋_GB2312"/>
                <w:sz w:val="32"/>
                <w:szCs w:val="32"/>
              </w:rPr>
            </w:pPr>
            <w:r>
              <w:rPr>
                <w:rFonts w:eastAsia="仿宋_GB2312" w:cs="仿宋_GB2312"/>
                <w:sz w:val="32"/>
                <w:szCs w:val="32"/>
              </w:rPr>
              <w:t>间接冷却水、锅炉用水等食品加工用水的水质应符合生产需要。食品加工用水与其他不与食品接触的用水（如间接冷却水、污水或废水等）应以完全分离的管路输送，避免交叉污染。各管路系统应明确标识以便区分。</w:t>
            </w:r>
          </w:p>
          <w:p w14:paraId="57A29941">
            <w:pPr>
              <w:spacing w:line="594" w:lineRule="exact"/>
              <w:ind w:firstLine="719" w:firstLineChars="229"/>
              <w:rPr>
                <w:rFonts w:eastAsia="仿宋_GB2312" w:cs="仿宋_GB2312"/>
                <w:sz w:val="32"/>
                <w:szCs w:val="32"/>
              </w:rPr>
            </w:pPr>
            <w:r>
              <w:rPr>
                <w:rFonts w:eastAsia="仿宋_GB2312" w:cs="仿宋_GB2312"/>
                <w:sz w:val="32"/>
                <w:szCs w:val="32"/>
              </w:rPr>
              <w:t>适宜时，应对非用于食品生产的水加以标识，以便将食品安全风险降至最低。</w:t>
            </w:r>
          </w:p>
          <w:p w14:paraId="0173791C">
            <w:pPr>
              <w:spacing w:line="594" w:lineRule="exact"/>
              <w:ind w:firstLine="719" w:firstLineChars="229"/>
              <w:rPr>
                <w:rFonts w:eastAsia="仿宋_GB2312" w:cs="仿宋_GB2312"/>
                <w:sz w:val="32"/>
                <w:szCs w:val="32"/>
              </w:rPr>
            </w:pPr>
            <w:r>
              <w:rPr>
                <w:rFonts w:eastAsia="仿宋_GB2312" w:cs="仿宋_GB2312"/>
                <w:sz w:val="32"/>
                <w:szCs w:val="32"/>
              </w:rPr>
              <w:t>应确保作为成份或与产品直接接触的空气、压缩气体、二氧化碳、氮气和其他气体符合所需要求，适当储存和处理，并在使用过程中进行定期监视。</w:t>
            </w:r>
          </w:p>
        </w:tc>
      </w:tr>
      <w:tr w14:paraId="787C064E">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7ED1B7">
            <w:pPr>
              <w:spacing w:line="594" w:lineRule="exact"/>
              <w:jc w:val="center"/>
              <w:rPr>
                <w:rFonts w:eastAsia="仿宋_GB2312" w:cs="仿宋_GB2312"/>
                <w:sz w:val="32"/>
                <w:szCs w:val="32"/>
              </w:rPr>
            </w:pPr>
            <w:r>
              <w:rPr>
                <w:rFonts w:eastAsia="仿宋_GB2312" w:cs="仿宋_GB2312"/>
                <w:sz w:val="32"/>
                <w:szCs w:val="32"/>
              </w:rPr>
              <w:t>5</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FA4211">
            <w:pPr>
              <w:spacing w:line="594" w:lineRule="exact"/>
              <w:jc w:val="center"/>
              <w:rPr>
                <w:rFonts w:eastAsia="仿宋_GB2312" w:cs="仿宋_GB2312"/>
                <w:sz w:val="32"/>
                <w:szCs w:val="32"/>
              </w:rPr>
            </w:pPr>
            <w:r>
              <w:rPr>
                <w:rFonts w:eastAsia="仿宋_GB2312" w:cs="仿宋_GB2312"/>
                <w:sz w:val="32"/>
                <w:szCs w:val="32"/>
              </w:rPr>
              <w:t>包装</w:t>
            </w:r>
          </w:p>
          <w:p w14:paraId="1BD24AB1">
            <w:pPr>
              <w:spacing w:line="594" w:lineRule="exact"/>
              <w:jc w:val="center"/>
              <w:rPr>
                <w:rFonts w:eastAsia="仿宋_GB2312" w:cs="仿宋_GB2312"/>
                <w:sz w:val="32"/>
                <w:szCs w:val="32"/>
              </w:rPr>
            </w:pPr>
            <w:r>
              <w:rPr>
                <w:rFonts w:eastAsia="仿宋_GB2312" w:cs="仿宋_GB2312"/>
                <w:sz w:val="32"/>
                <w:szCs w:val="32"/>
              </w:rPr>
              <w:t>材料</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E3B28B">
            <w:pPr>
              <w:spacing w:line="594" w:lineRule="exact"/>
              <w:ind w:firstLine="719" w:firstLineChars="229"/>
              <w:rPr>
                <w:rFonts w:eastAsia="仿宋_GB2312" w:cs="仿宋_GB2312"/>
                <w:sz w:val="32"/>
                <w:szCs w:val="32"/>
              </w:rPr>
            </w:pPr>
            <w:r>
              <w:rPr>
                <w:rFonts w:eastAsia="仿宋_GB2312" w:cs="仿宋_GB2312"/>
                <w:sz w:val="32"/>
                <w:szCs w:val="32"/>
              </w:rPr>
              <w:t>食品包装的设计和材料应能在正常的贮存、运输、销售条件下最大限度地保护食品的安全性和食品品质，并加贴适当的标签。</w:t>
            </w:r>
          </w:p>
          <w:p w14:paraId="3287B0FC">
            <w:pPr>
              <w:spacing w:line="594" w:lineRule="exact"/>
              <w:ind w:firstLine="719" w:firstLineChars="229"/>
              <w:rPr>
                <w:rFonts w:eastAsia="仿宋_GB2312" w:cs="仿宋_GB2312"/>
                <w:sz w:val="32"/>
                <w:szCs w:val="32"/>
              </w:rPr>
            </w:pPr>
            <w:r>
              <w:rPr>
                <w:rFonts w:eastAsia="仿宋_GB2312" w:cs="仿宋_GB2312"/>
                <w:sz w:val="32"/>
                <w:szCs w:val="32"/>
              </w:rPr>
              <w:t>使用的包装材料或气体不应含有有毒有害物质，在规定的储存和使用条件下，不应对食品安全和宜食用性构成威胁。</w:t>
            </w:r>
          </w:p>
          <w:p w14:paraId="2DF8EEE7">
            <w:pPr>
              <w:spacing w:line="594" w:lineRule="exact"/>
              <w:ind w:firstLine="719" w:firstLineChars="229"/>
              <w:rPr>
                <w:rFonts w:eastAsia="仿宋_GB2312" w:cs="仿宋_GB2312"/>
                <w:sz w:val="32"/>
                <w:szCs w:val="32"/>
              </w:rPr>
            </w:pPr>
            <w:r>
              <w:rPr>
                <w:rFonts w:eastAsia="仿宋_GB2312" w:cs="仿宋_GB2312"/>
                <w:sz w:val="32"/>
                <w:szCs w:val="32"/>
              </w:rPr>
              <w:t>任何可重复使用的包装都应适当耐用，易于清洁，必要时能够进行消毒。</w:t>
            </w:r>
          </w:p>
        </w:tc>
      </w:tr>
      <w:tr w14:paraId="7FE77AD9">
        <w:tblPrEx>
          <w:tblCellMar>
            <w:top w:w="0" w:type="dxa"/>
            <w:left w:w="10" w:type="dxa"/>
            <w:bottom w:w="0" w:type="dxa"/>
            <w:right w:w="10" w:type="dxa"/>
          </w:tblCellMar>
        </w:tblPrEx>
        <w:trPr>
          <w:trHeight w:val="574"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8A292D">
            <w:pPr>
              <w:spacing w:line="594" w:lineRule="exact"/>
              <w:jc w:val="center"/>
              <w:rPr>
                <w:rFonts w:eastAsia="仿宋_GB2312" w:cs="仿宋_GB2312"/>
                <w:sz w:val="32"/>
                <w:szCs w:val="32"/>
              </w:rPr>
            </w:pPr>
            <w:r>
              <w:rPr>
                <w:rFonts w:eastAsia="仿宋_GB2312" w:cs="仿宋_GB2312"/>
                <w:sz w:val="32"/>
                <w:szCs w:val="32"/>
              </w:rPr>
              <w:t>6</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C3DAF0">
            <w:pPr>
              <w:spacing w:line="594" w:lineRule="exact"/>
              <w:jc w:val="center"/>
              <w:rPr>
                <w:rFonts w:eastAsia="仿宋_GB2312" w:cs="仿宋_GB2312"/>
                <w:sz w:val="32"/>
                <w:szCs w:val="32"/>
              </w:rPr>
            </w:pPr>
            <w:r>
              <w:rPr>
                <w:rFonts w:eastAsia="仿宋_GB2312" w:cs="仿宋_GB2312"/>
                <w:sz w:val="32"/>
                <w:szCs w:val="32"/>
              </w:rPr>
              <w:t>废弃物管理</w:t>
            </w:r>
          </w:p>
        </w:tc>
        <w:tc>
          <w:tcPr>
            <w:tcW w:w="68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2701EF">
            <w:pPr>
              <w:spacing w:line="594" w:lineRule="exact"/>
              <w:ind w:firstLine="719" w:firstLineChars="229"/>
              <w:rPr>
                <w:rFonts w:eastAsia="仿宋_GB2312" w:cs="仿宋_GB2312"/>
                <w:sz w:val="32"/>
                <w:szCs w:val="32"/>
              </w:rPr>
            </w:pPr>
            <w:r>
              <w:rPr>
                <w:rFonts w:eastAsia="仿宋_GB2312" w:cs="仿宋_GB2312"/>
                <w:sz w:val="32"/>
                <w:szCs w:val="32"/>
              </w:rPr>
              <w:t xml:space="preserve">应建立、实施和保持废弃物（包括废水和排水）收集、存放和处置规程，有特殊要求的废弃物处置方式应符合有关规定。  </w:t>
            </w:r>
          </w:p>
          <w:p w14:paraId="6425FA83">
            <w:pPr>
              <w:spacing w:line="594" w:lineRule="exact"/>
              <w:ind w:firstLine="719" w:firstLineChars="229"/>
              <w:rPr>
                <w:rFonts w:eastAsia="仿宋_GB2312" w:cs="仿宋_GB2312"/>
                <w:sz w:val="32"/>
                <w:szCs w:val="32"/>
              </w:rPr>
            </w:pPr>
            <w:r>
              <w:rPr>
                <w:rFonts w:eastAsia="仿宋_GB2312" w:cs="仿宋_GB2312"/>
                <w:sz w:val="32"/>
                <w:szCs w:val="32"/>
              </w:rPr>
              <w:t>应提供足够的废弃物存放和排水设施，并定期维护。其设计和建造应避免污染食品或供水。食品生产排水的流向应由清洁程度要求高的区域流向清洁程度要求低的区域。排水设施应有防止逆流和交叉污染的设计。</w:t>
            </w:r>
          </w:p>
          <w:p w14:paraId="17784A65">
            <w:pPr>
              <w:spacing w:line="594" w:lineRule="exact"/>
              <w:ind w:firstLine="719" w:firstLineChars="229"/>
              <w:rPr>
                <w:rFonts w:eastAsia="仿宋_GB2312" w:cs="仿宋_GB2312"/>
                <w:sz w:val="32"/>
                <w:szCs w:val="32"/>
              </w:rPr>
            </w:pPr>
            <w:r>
              <w:rPr>
                <w:rFonts w:eastAsia="仿宋_GB2312" w:cs="仿宋_GB2312"/>
                <w:sz w:val="32"/>
                <w:szCs w:val="32"/>
              </w:rPr>
              <w:t>废弃物需由接受过培训的人员负责收集和处置，并酌情保存处置记录。车间内废弃物处置点应远离食品设施，以防止虫害孳生。</w:t>
            </w:r>
          </w:p>
          <w:p w14:paraId="0B0EE808">
            <w:pPr>
              <w:spacing w:line="594" w:lineRule="exact"/>
              <w:ind w:firstLine="719" w:firstLineChars="229"/>
              <w:rPr>
                <w:rFonts w:eastAsia="仿宋_GB2312" w:cs="仿宋_GB2312"/>
                <w:sz w:val="32"/>
                <w:szCs w:val="32"/>
              </w:rPr>
            </w:pPr>
            <w:r>
              <w:rPr>
                <w:rFonts w:eastAsia="仿宋_GB2312" w:cs="仿宋_GB2312"/>
                <w:sz w:val="32"/>
                <w:szCs w:val="32"/>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w:t>
            </w:r>
            <w:r>
              <w:rPr>
                <w:rFonts w:hint="eastAsia" w:eastAsia="仿宋_GB2312" w:cs="仿宋_GB2312"/>
                <w:sz w:val="32"/>
                <w:szCs w:val="32"/>
              </w:rPr>
              <w:t>，</w:t>
            </w:r>
            <w:r>
              <w:rPr>
                <w:rFonts w:eastAsia="仿宋_GB2312" w:cs="仿宋_GB2312"/>
                <w:sz w:val="32"/>
                <w:szCs w:val="32"/>
              </w:rPr>
              <w:t>应在适当地点设置废弃物临时存放设施，并按废弃物特性分类存放。</w:t>
            </w:r>
          </w:p>
          <w:p w14:paraId="21993A36">
            <w:pPr>
              <w:spacing w:line="594" w:lineRule="exact"/>
              <w:ind w:firstLine="719" w:firstLineChars="229"/>
              <w:rPr>
                <w:rFonts w:eastAsia="仿宋_GB2312" w:cs="仿宋_GB2312"/>
                <w:sz w:val="32"/>
                <w:szCs w:val="32"/>
              </w:rPr>
            </w:pPr>
            <w:r>
              <w:rPr>
                <w:rFonts w:eastAsia="仿宋_GB2312" w:cs="仿宋_GB2312"/>
                <w:sz w:val="32"/>
                <w:szCs w:val="32"/>
              </w:rPr>
              <w:t>场所外废弃物放置场所应与食品加工场所隔离防止污染，防止不良气味或有害有毒气体溢出，防止虫害孳生。</w:t>
            </w:r>
          </w:p>
        </w:tc>
      </w:tr>
      <w:tr w14:paraId="3138FC0F">
        <w:tblPrEx>
          <w:tblCellMar>
            <w:top w:w="0" w:type="dxa"/>
            <w:left w:w="10" w:type="dxa"/>
            <w:bottom w:w="0" w:type="dxa"/>
            <w:right w:w="10" w:type="dxa"/>
          </w:tblCellMar>
        </w:tblPrEx>
        <w:trPr>
          <w:trHeight w:val="7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FF0EC">
            <w:pPr>
              <w:spacing w:after="200" w:line="594" w:lineRule="exact"/>
              <w:jc w:val="left"/>
              <w:rPr>
                <w:rFonts w:eastAsia="仿宋_GB2312" w:cs="仿宋_GB2312"/>
                <w:sz w:val="32"/>
                <w:szCs w:val="32"/>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1E305">
            <w:pPr>
              <w:spacing w:after="200" w:line="594" w:lineRule="exact"/>
              <w:jc w:val="left"/>
              <w:rPr>
                <w:rFonts w:eastAsia="仿宋_GB2312" w:cs="仿宋_GB2312"/>
                <w:sz w:val="32"/>
                <w:szCs w:val="32"/>
              </w:rPr>
            </w:pPr>
          </w:p>
        </w:tc>
        <w:tc>
          <w:tcPr>
            <w:tcW w:w="68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97BC2">
            <w:pPr>
              <w:spacing w:after="200" w:line="594" w:lineRule="exact"/>
              <w:jc w:val="left"/>
              <w:rPr>
                <w:rFonts w:eastAsia="仿宋_GB2312" w:cs="仿宋_GB2312"/>
                <w:sz w:val="32"/>
                <w:szCs w:val="32"/>
              </w:rPr>
            </w:pPr>
          </w:p>
        </w:tc>
      </w:tr>
      <w:tr w14:paraId="79C8AE56">
        <w:tblPrEx>
          <w:tblCellMar>
            <w:top w:w="0" w:type="dxa"/>
            <w:left w:w="10" w:type="dxa"/>
            <w:bottom w:w="0" w:type="dxa"/>
            <w:right w:w="10" w:type="dxa"/>
          </w:tblCellMar>
        </w:tblPrEx>
        <w:trPr>
          <w:trHeight w:val="7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770FC5">
            <w:pPr>
              <w:spacing w:after="200" w:line="594" w:lineRule="exact"/>
              <w:jc w:val="left"/>
              <w:rPr>
                <w:rFonts w:eastAsia="仿宋_GB2312" w:cs="仿宋_GB2312"/>
                <w:sz w:val="32"/>
                <w:szCs w:val="32"/>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A83128">
            <w:pPr>
              <w:spacing w:after="200" w:line="594" w:lineRule="exact"/>
              <w:jc w:val="left"/>
              <w:rPr>
                <w:rFonts w:eastAsia="仿宋_GB2312" w:cs="仿宋_GB2312"/>
                <w:sz w:val="32"/>
                <w:szCs w:val="32"/>
              </w:rPr>
            </w:pPr>
          </w:p>
        </w:tc>
        <w:tc>
          <w:tcPr>
            <w:tcW w:w="68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008098">
            <w:pPr>
              <w:spacing w:after="200" w:line="594" w:lineRule="exact"/>
              <w:jc w:val="left"/>
              <w:rPr>
                <w:rFonts w:eastAsia="仿宋_GB2312" w:cs="仿宋_GB2312"/>
                <w:sz w:val="32"/>
                <w:szCs w:val="32"/>
              </w:rPr>
            </w:pPr>
          </w:p>
        </w:tc>
      </w:tr>
      <w:tr w14:paraId="4930D688">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66EFD0">
            <w:pPr>
              <w:spacing w:line="594" w:lineRule="exact"/>
              <w:jc w:val="center"/>
              <w:rPr>
                <w:rFonts w:eastAsia="仿宋_GB2312" w:cs="仿宋_GB2312"/>
                <w:sz w:val="32"/>
                <w:szCs w:val="32"/>
              </w:rPr>
            </w:pPr>
            <w:r>
              <w:rPr>
                <w:rFonts w:eastAsia="仿宋_GB2312" w:cs="仿宋_GB2312"/>
                <w:sz w:val="32"/>
                <w:szCs w:val="32"/>
              </w:rPr>
              <w:t>7</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667CF4">
            <w:pPr>
              <w:spacing w:line="594" w:lineRule="exact"/>
              <w:jc w:val="center"/>
              <w:rPr>
                <w:rFonts w:eastAsia="仿宋_GB2312" w:cs="仿宋_GB2312"/>
                <w:sz w:val="32"/>
                <w:szCs w:val="32"/>
              </w:rPr>
            </w:pPr>
            <w:r>
              <w:rPr>
                <w:rFonts w:eastAsia="仿宋_GB2312" w:cs="仿宋_GB2312"/>
                <w:sz w:val="32"/>
                <w:szCs w:val="32"/>
              </w:rPr>
              <w:t>设备与维护</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70CDE">
            <w:pPr>
              <w:spacing w:line="594" w:lineRule="exact"/>
              <w:ind w:firstLine="719" w:firstLineChars="229"/>
              <w:rPr>
                <w:rFonts w:eastAsia="仿宋_GB2312" w:cs="仿宋_GB2312"/>
                <w:sz w:val="32"/>
                <w:szCs w:val="32"/>
              </w:rPr>
            </w:pPr>
            <w:r>
              <w:rPr>
                <w:rFonts w:eastAsia="仿宋_GB2312" w:cs="仿宋_GB2312"/>
                <w:sz w:val="32"/>
                <w:szCs w:val="32"/>
              </w:rPr>
              <w:t>应配备与生产用途相适应的生产设备，并按工艺流程有序排列，避免引起交叉污染。设备的设计、建造、维护、使用和储存应满足食品安全要求。</w:t>
            </w:r>
          </w:p>
          <w:p w14:paraId="4C83FCF2">
            <w:pPr>
              <w:spacing w:line="594" w:lineRule="exact"/>
              <w:ind w:firstLine="625" w:firstLineChars="199"/>
              <w:rPr>
                <w:rFonts w:eastAsia="仿宋_GB2312" w:cs="仿宋_GB2312"/>
                <w:sz w:val="32"/>
                <w:szCs w:val="32"/>
              </w:rPr>
            </w:pPr>
            <w:r>
              <w:rPr>
                <w:rFonts w:eastAsia="仿宋_GB2312" w:cs="仿宋_GB2312"/>
                <w:sz w:val="32"/>
                <w:szCs w:val="32"/>
              </w:rPr>
              <w:t>应对场所和设备进行有效的预防性维护，加强设备的日常维护和保养，定期检修，保留记录。防止维护保养工作产生食品安全风险。</w:t>
            </w:r>
          </w:p>
        </w:tc>
      </w:tr>
      <w:tr w14:paraId="751A36B1">
        <w:tblPrEx>
          <w:tblCellMar>
            <w:top w:w="0" w:type="dxa"/>
            <w:left w:w="10" w:type="dxa"/>
            <w:bottom w:w="0" w:type="dxa"/>
            <w:right w:w="10" w:type="dxa"/>
          </w:tblCellMar>
        </w:tblPrEx>
        <w:trPr>
          <w:trHeight w:val="574"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F0342">
            <w:pPr>
              <w:spacing w:line="594" w:lineRule="exact"/>
              <w:jc w:val="center"/>
              <w:rPr>
                <w:rFonts w:eastAsia="仿宋_GB2312" w:cs="仿宋_GB2312"/>
                <w:sz w:val="32"/>
                <w:szCs w:val="32"/>
              </w:rPr>
            </w:pPr>
            <w:r>
              <w:rPr>
                <w:rFonts w:eastAsia="仿宋_GB2312" w:cs="仿宋_GB2312"/>
                <w:sz w:val="32"/>
                <w:szCs w:val="32"/>
              </w:rPr>
              <w:t>8</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A209DF">
            <w:pPr>
              <w:spacing w:line="594" w:lineRule="exact"/>
              <w:jc w:val="center"/>
              <w:rPr>
                <w:rFonts w:eastAsia="仿宋_GB2312" w:cs="仿宋_GB2312"/>
                <w:sz w:val="32"/>
                <w:szCs w:val="32"/>
              </w:rPr>
            </w:pPr>
            <w:r>
              <w:rPr>
                <w:rFonts w:eastAsia="仿宋_GB2312" w:cs="仿宋_GB2312"/>
                <w:sz w:val="32"/>
                <w:szCs w:val="32"/>
              </w:rPr>
              <w:t>产品污染风险和隔离</w:t>
            </w:r>
          </w:p>
        </w:tc>
        <w:tc>
          <w:tcPr>
            <w:tcW w:w="68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53169">
            <w:pPr>
              <w:keepNext/>
              <w:spacing w:before="143" w:line="594" w:lineRule="exact"/>
              <w:ind w:firstLine="719" w:firstLineChars="229"/>
              <w:rPr>
                <w:rFonts w:eastAsia="仿宋_GB2312" w:cs="仿宋_GB2312"/>
                <w:sz w:val="32"/>
                <w:szCs w:val="32"/>
              </w:rPr>
            </w:pPr>
            <w:r>
              <w:rPr>
                <w:rFonts w:eastAsia="仿宋_GB2312" w:cs="仿宋_GB2312"/>
                <w:sz w:val="32"/>
                <w:szCs w:val="32"/>
              </w:rPr>
              <w:t>应建立、实施和保持产品污染预防控制规程，控制对食品原料、食品添加剂、食品相关产品、半成品、成品、返工品和包装材料的污染和交叉污染的风险：</w:t>
            </w:r>
          </w:p>
          <w:p w14:paraId="21A5AD9E">
            <w:pPr>
              <w:spacing w:line="594" w:lineRule="exact"/>
              <w:ind w:firstLine="719" w:firstLineChars="229"/>
              <w:rPr>
                <w:rFonts w:eastAsia="仿宋_GB2312" w:cs="仿宋_GB2312"/>
                <w:sz w:val="32"/>
                <w:szCs w:val="32"/>
              </w:rPr>
            </w:pPr>
            <w:r>
              <w:rPr>
                <w:rFonts w:eastAsia="仿宋_GB2312" w:cs="仿宋_GB2312"/>
                <w:sz w:val="32"/>
                <w:szCs w:val="32"/>
              </w:rPr>
              <w:t>1）微生物污染</w:t>
            </w:r>
          </w:p>
          <w:p w14:paraId="2FA2EDE4">
            <w:pPr>
              <w:spacing w:line="594" w:lineRule="exact"/>
              <w:ind w:firstLine="719" w:firstLineChars="229"/>
              <w:rPr>
                <w:rFonts w:eastAsia="仿宋_GB2312" w:cs="仿宋_GB2312"/>
                <w:sz w:val="32"/>
                <w:szCs w:val="32"/>
              </w:rPr>
            </w:pPr>
            <w:r>
              <w:rPr>
                <w:rFonts w:eastAsia="仿宋_GB2312" w:cs="仿宋_GB2312"/>
                <w:sz w:val="32"/>
                <w:szCs w:val="32"/>
              </w:rPr>
              <w:t>建立实施生产经营设备、工具、容器和环境的清洁消毒措施。</w:t>
            </w:r>
          </w:p>
          <w:p w14:paraId="230FF3EE">
            <w:pPr>
              <w:spacing w:line="594" w:lineRule="exact"/>
              <w:ind w:firstLine="719" w:firstLineChars="229"/>
              <w:rPr>
                <w:rFonts w:eastAsia="仿宋_GB2312" w:cs="仿宋_GB2312"/>
                <w:sz w:val="32"/>
                <w:szCs w:val="32"/>
              </w:rPr>
            </w:pPr>
            <w:r>
              <w:rPr>
                <w:rFonts w:eastAsia="仿宋_GB2312" w:cs="仿宋_GB2312"/>
                <w:sz w:val="32"/>
                <w:szCs w:val="32"/>
              </w:rPr>
              <w:t>必要时，应建立食品生产经营过程中的微生物监控计划，包括对环境及过程中产品的微生物监控；</w:t>
            </w:r>
          </w:p>
          <w:p w14:paraId="5F4B7E8E">
            <w:pPr>
              <w:spacing w:line="594" w:lineRule="exact"/>
              <w:ind w:firstLine="719" w:firstLineChars="229"/>
              <w:rPr>
                <w:rFonts w:eastAsia="仿宋_GB2312" w:cs="仿宋_GB2312"/>
                <w:sz w:val="32"/>
                <w:szCs w:val="32"/>
              </w:rPr>
            </w:pPr>
            <w:r>
              <w:rPr>
                <w:rFonts w:eastAsia="仿宋_GB2312" w:cs="仿宋_GB2312"/>
                <w:sz w:val="32"/>
                <w:szCs w:val="32"/>
              </w:rPr>
              <w:t>对生的、未加工的、非即食食品应采取物理或时间上的隔离措施，与即食食品分开，并在转换隔离时进行有效的清洁与消毒，避免交叉污染；</w:t>
            </w:r>
          </w:p>
          <w:p w14:paraId="48C54D1A">
            <w:pPr>
              <w:spacing w:line="594" w:lineRule="exact"/>
              <w:ind w:firstLine="719" w:firstLineChars="229"/>
              <w:rPr>
                <w:rFonts w:eastAsia="仿宋_GB2312" w:cs="仿宋_GB2312"/>
                <w:sz w:val="32"/>
                <w:szCs w:val="32"/>
              </w:rPr>
            </w:pPr>
            <w:r>
              <w:rPr>
                <w:rFonts w:eastAsia="仿宋_GB2312" w:cs="仿宋_GB2312"/>
                <w:sz w:val="32"/>
                <w:szCs w:val="32"/>
              </w:rPr>
              <w:t>在处理生食后，应对表面、器具、设备、固定装置和配件彻底清洗，必要时进行消毒；</w:t>
            </w:r>
          </w:p>
          <w:p w14:paraId="2BB16CB4">
            <w:pPr>
              <w:spacing w:line="594" w:lineRule="exact"/>
              <w:ind w:firstLine="719" w:firstLineChars="229"/>
              <w:rPr>
                <w:rFonts w:eastAsia="仿宋_GB2312" w:cs="仿宋_GB2312"/>
                <w:sz w:val="32"/>
                <w:szCs w:val="32"/>
              </w:rPr>
            </w:pPr>
            <w:r>
              <w:rPr>
                <w:rFonts w:eastAsia="仿宋_GB2312" w:cs="仿宋_GB2312"/>
                <w:sz w:val="32"/>
                <w:szCs w:val="32"/>
              </w:rPr>
              <w:t>出于食品安全的目的，适宜时，需采取措施限制或控制进入高清洁加工区域。</w:t>
            </w:r>
          </w:p>
          <w:p w14:paraId="6D36BBEC">
            <w:pPr>
              <w:spacing w:line="594" w:lineRule="exact"/>
              <w:ind w:firstLine="719" w:firstLineChars="229"/>
              <w:rPr>
                <w:rFonts w:eastAsia="仿宋_GB2312" w:cs="仿宋_GB2312"/>
                <w:sz w:val="32"/>
                <w:szCs w:val="32"/>
              </w:rPr>
            </w:pPr>
            <w:r>
              <w:rPr>
                <w:rFonts w:eastAsia="仿宋_GB2312" w:cs="仿宋_GB2312"/>
                <w:sz w:val="32"/>
                <w:szCs w:val="32"/>
              </w:rPr>
              <w:t>2）物理污染</w:t>
            </w:r>
          </w:p>
          <w:p w14:paraId="1B5F6C68">
            <w:pPr>
              <w:spacing w:line="594" w:lineRule="exact"/>
              <w:ind w:firstLine="719" w:firstLineChars="229"/>
              <w:rPr>
                <w:rFonts w:eastAsia="仿宋_GB2312" w:cs="仿宋_GB2312"/>
                <w:sz w:val="32"/>
                <w:szCs w:val="32"/>
              </w:rPr>
            </w:pPr>
            <w:r>
              <w:rPr>
                <w:rFonts w:eastAsia="仿宋_GB2312" w:cs="仿宋_GB2312"/>
                <w:sz w:val="32"/>
                <w:szCs w:val="32"/>
              </w:rPr>
              <w:t>建立、实施和保持防止物理污染的控制措施，对各类污染进行控制。</w:t>
            </w:r>
          </w:p>
          <w:p w14:paraId="0E901EB3">
            <w:pPr>
              <w:spacing w:line="594" w:lineRule="exact"/>
              <w:ind w:firstLine="719" w:firstLineChars="229"/>
              <w:rPr>
                <w:rFonts w:eastAsia="仿宋_GB2312" w:cs="仿宋_GB2312"/>
                <w:sz w:val="32"/>
                <w:szCs w:val="32"/>
              </w:rPr>
            </w:pPr>
            <w:r>
              <w:rPr>
                <w:rFonts w:eastAsia="仿宋_GB2312" w:cs="仿宋_GB2312"/>
                <w:sz w:val="32"/>
                <w:szCs w:val="32"/>
              </w:rPr>
              <w:t>控制措施可包括：</w:t>
            </w:r>
          </w:p>
          <w:p w14:paraId="26EED59F">
            <w:pPr>
              <w:spacing w:line="594" w:lineRule="exact"/>
              <w:ind w:firstLine="716" w:firstLineChars="228"/>
              <w:jc w:val="left"/>
              <w:rPr>
                <w:rFonts w:eastAsia="仿宋_GB2312" w:cs="仿宋_GB2312"/>
                <w:sz w:val="32"/>
                <w:szCs w:val="32"/>
              </w:rPr>
            </w:pPr>
            <w:r>
              <w:rPr>
                <w:rFonts w:eastAsia="仿宋_GB2312" w:cs="仿宋_GB2312"/>
                <w:sz w:val="32"/>
                <w:szCs w:val="32"/>
              </w:rPr>
              <w:t>—应通过采取设备维护、卫生管理、现场管理、外来人员管理及加工过程监督等措施，最大程度地降低食品受到玻璃、金属、塑胶等异物污染的风险；</w:t>
            </w:r>
          </w:p>
          <w:p w14:paraId="5E0074A7">
            <w:pPr>
              <w:spacing w:line="594" w:lineRule="exact"/>
              <w:ind w:firstLine="719" w:firstLineChars="229"/>
              <w:rPr>
                <w:rFonts w:eastAsia="仿宋_GB2312" w:cs="仿宋_GB2312"/>
                <w:sz w:val="32"/>
                <w:szCs w:val="32"/>
              </w:rPr>
            </w:pPr>
            <w:r>
              <w:rPr>
                <w:rFonts w:eastAsia="仿宋_GB2312" w:cs="仿宋_GB2312"/>
                <w:sz w:val="32"/>
                <w:szCs w:val="32"/>
              </w:rPr>
              <w:t>—采取设置筛网、捕集器、磁铁、金属检查器等有效措施降低金属或其他异物污染食品的风险；</w:t>
            </w:r>
          </w:p>
          <w:p w14:paraId="71CFF25B">
            <w:pPr>
              <w:spacing w:line="594" w:lineRule="exact"/>
              <w:ind w:firstLine="719" w:firstLineChars="229"/>
              <w:rPr>
                <w:rFonts w:eastAsia="仿宋_GB2312" w:cs="仿宋_GB2312"/>
                <w:sz w:val="32"/>
                <w:szCs w:val="32"/>
              </w:rPr>
            </w:pPr>
            <w:r>
              <w:rPr>
                <w:rFonts w:eastAsia="仿宋_GB2312" w:cs="仿宋_GB2312"/>
                <w:sz w:val="32"/>
                <w:szCs w:val="32"/>
              </w:rPr>
              <w:t>—维护和定期检查设备</w:t>
            </w:r>
            <w:r>
              <w:rPr>
                <w:rFonts w:hint="eastAsia" w:eastAsia="仿宋_GB2312" w:cs="仿宋_GB2312"/>
                <w:sz w:val="32"/>
                <w:szCs w:val="32"/>
              </w:rPr>
              <w:t>；</w:t>
            </w:r>
          </w:p>
          <w:p w14:paraId="1C01E8FB">
            <w:pPr>
              <w:spacing w:line="594" w:lineRule="exact"/>
              <w:ind w:firstLine="719" w:firstLineChars="229"/>
              <w:rPr>
                <w:rFonts w:eastAsia="仿宋_GB2312" w:cs="仿宋_GB2312"/>
                <w:sz w:val="32"/>
                <w:szCs w:val="32"/>
              </w:rPr>
            </w:pPr>
            <w:r>
              <w:rPr>
                <w:rFonts w:eastAsia="仿宋_GB2312" w:cs="仿宋_GB2312"/>
                <w:sz w:val="32"/>
                <w:szCs w:val="32"/>
              </w:rPr>
              <w:t>—适用时，使用经校准的探测或筛选设备（金属探测器、x射线探测器等）</w:t>
            </w:r>
            <w:r>
              <w:rPr>
                <w:rFonts w:hint="eastAsia" w:eastAsia="仿宋_GB2312" w:cs="仿宋_GB2312"/>
                <w:sz w:val="32"/>
                <w:szCs w:val="32"/>
              </w:rPr>
              <w:t>；</w:t>
            </w:r>
          </w:p>
          <w:p w14:paraId="4B666D61">
            <w:pPr>
              <w:spacing w:line="594" w:lineRule="exact"/>
              <w:ind w:firstLine="719" w:firstLineChars="229"/>
              <w:rPr>
                <w:rFonts w:eastAsia="仿宋_GB2312" w:cs="仿宋_GB2312"/>
                <w:sz w:val="32"/>
                <w:szCs w:val="32"/>
              </w:rPr>
            </w:pPr>
            <w:r>
              <w:rPr>
                <w:rFonts w:eastAsia="仿宋_GB2312" w:cs="仿宋_GB2312"/>
                <w:sz w:val="32"/>
                <w:szCs w:val="32"/>
              </w:rPr>
              <w:t>—建立预案以处置破损（如玻璃或塑料容器破损）情况。</w:t>
            </w:r>
          </w:p>
          <w:p w14:paraId="3787ADC9">
            <w:pPr>
              <w:spacing w:line="594" w:lineRule="exact"/>
              <w:ind w:firstLine="719" w:firstLineChars="229"/>
              <w:rPr>
                <w:rFonts w:eastAsia="仿宋_GB2312" w:cs="仿宋_GB2312"/>
                <w:sz w:val="32"/>
                <w:szCs w:val="32"/>
              </w:rPr>
            </w:pPr>
            <w:r>
              <w:rPr>
                <w:rFonts w:eastAsia="仿宋_GB2312" w:cs="仿宋_GB2312"/>
                <w:sz w:val="32"/>
                <w:szCs w:val="32"/>
              </w:rPr>
              <w:t>3）化学污染</w:t>
            </w:r>
          </w:p>
          <w:p w14:paraId="697132F5">
            <w:pPr>
              <w:spacing w:line="594" w:lineRule="exact"/>
              <w:ind w:firstLine="719" w:firstLineChars="229"/>
              <w:rPr>
                <w:rFonts w:eastAsia="仿宋_GB2312" w:cs="仿宋_GB2312"/>
                <w:sz w:val="32"/>
                <w:szCs w:val="32"/>
              </w:rPr>
            </w:pPr>
            <w:r>
              <w:rPr>
                <w:rFonts w:eastAsia="仿宋_GB2312" w:cs="仿宋_GB2312"/>
                <w:sz w:val="32"/>
                <w:szCs w:val="32"/>
              </w:rPr>
              <w:t>建立、实施和保持防止化学污染的控制措施，对各类污染进行控制。控制措施可包括：</w:t>
            </w:r>
          </w:p>
          <w:p w14:paraId="23B42160">
            <w:pPr>
              <w:spacing w:line="594" w:lineRule="exact"/>
              <w:ind w:firstLine="719" w:firstLineChars="229"/>
              <w:rPr>
                <w:rFonts w:eastAsia="仿宋_GB2312" w:cs="仿宋_GB2312"/>
                <w:sz w:val="32"/>
                <w:szCs w:val="32"/>
              </w:rPr>
            </w:pPr>
            <w:r>
              <w:rPr>
                <w:rFonts w:eastAsia="仿宋_GB2312" w:cs="仿宋_GB2312"/>
                <w:sz w:val="32"/>
                <w:szCs w:val="32"/>
              </w:rPr>
              <w:t>—对清洁剂、消毒剂、润滑剂和杀虫剂等化学污染物实施控制；</w:t>
            </w:r>
          </w:p>
          <w:p w14:paraId="49A69D6F">
            <w:pPr>
              <w:spacing w:line="594" w:lineRule="exact"/>
              <w:ind w:firstLine="719" w:firstLineChars="229"/>
              <w:rPr>
                <w:rFonts w:eastAsia="仿宋_GB2312" w:cs="仿宋_GB2312"/>
                <w:sz w:val="32"/>
                <w:szCs w:val="32"/>
              </w:rPr>
            </w:pPr>
            <w:r>
              <w:rPr>
                <w:rFonts w:eastAsia="仿宋_GB2312" w:cs="仿宋_GB2312"/>
                <w:sz w:val="32"/>
                <w:szCs w:val="32"/>
              </w:rPr>
              <w:t>—对食品添加剂和食品加工助剂的使用应符合法规和标准的要求，防止非预期使用。</w:t>
            </w:r>
          </w:p>
        </w:tc>
      </w:tr>
      <w:tr w14:paraId="04BFA846">
        <w:tblPrEx>
          <w:tblCellMar>
            <w:top w:w="0" w:type="dxa"/>
            <w:left w:w="10" w:type="dxa"/>
            <w:bottom w:w="0" w:type="dxa"/>
            <w:right w:w="10" w:type="dxa"/>
          </w:tblCellMar>
        </w:tblPrEx>
        <w:trPr>
          <w:trHeight w:val="7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3FDEAE">
            <w:pPr>
              <w:spacing w:after="200" w:line="594" w:lineRule="exact"/>
              <w:jc w:val="left"/>
              <w:rPr>
                <w:rFonts w:eastAsia="仿宋_GB2312" w:cs="仿宋_GB2312"/>
                <w:sz w:val="32"/>
                <w:szCs w:val="32"/>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9F415">
            <w:pPr>
              <w:spacing w:after="200" w:line="594" w:lineRule="exact"/>
              <w:jc w:val="left"/>
              <w:rPr>
                <w:rFonts w:eastAsia="仿宋_GB2312" w:cs="仿宋_GB2312"/>
                <w:sz w:val="32"/>
                <w:szCs w:val="32"/>
              </w:rPr>
            </w:pPr>
          </w:p>
        </w:tc>
        <w:tc>
          <w:tcPr>
            <w:tcW w:w="68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1A5B81">
            <w:pPr>
              <w:spacing w:after="200" w:line="594" w:lineRule="exact"/>
              <w:jc w:val="left"/>
              <w:rPr>
                <w:rFonts w:eastAsia="仿宋_GB2312" w:cs="仿宋_GB2312"/>
                <w:sz w:val="32"/>
                <w:szCs w:val="32"/>
              </w:rPr>
            </w:pPr>
          </w:p>
        </w:tc>
      </w:tr>
      <w:tr w14:paraId="04026A54">
        <w:tblPrEx>
          <w:tblCellMar>
            <w:top w:w="0" w:type="dxa"/>
            <w:left w:w="10" w:type="dxa"/>
            <w:bottom w:w="0" w:type="dxa"/>
            <w:right w:w="10" w:type="dxa"/>
          </w:tblCellMar>
        </w:tblPrEx>
        <w:trPr>
          <w:trHeight w:val="7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DD4AE5">
            <w:pPr>
              <w:spacing w:after="200" w:line="594" w:lineRule="exact"/>
              <w:jc w:val="left"/>
              <w:rPr>
                <w:rFonts w:eastAsia="仿宋_GB2312" w:cs="仿宋_GB2312"/>
                <w:sz w:val="32"/>
                <w:szCs w:val="32"/>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9E640F">
            <w:pPr>
              <w:spacing w:after="200" w:line="594" w:lineRule="exact"/>
              <w:jc w:val="left"/>
              <w:rPr>
                <w:rFonts w:eastAsia="仿宋_GB2312" w:cs="仿宋_GB2312"/>
                <w:sz w:val="32"/>
                <w:szCs w:val="32"/>
              </w:rPr>
            </w:pPr>
          </w:p>
        </w:tc>
        <w:tc>
          <w:tcPr>
            <w:tcW w:w="68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883BE4">
            <w:pPr>
              <w:spacing w:after="200" w:line="594" w:lineRule="exact"/>
              <w:jc w:val="left"/>
              <w:rPr>
                <w:rFonts w:eastAsia="仿宋_GB2312" w:cs="仿宋_GB2312"/>
                <w:sz w:val="32"/>
                <w:szCs w:val="32"/>
              </w:rPr>
            </w:pPr>
          </w:p>
        </w:tc>
      </w:tr>
      <w:tr w14:paraId="545693E2">
        <w:tblPrEx>
          <w:tblCellMar>
            <w:top w:w="0" w:type="dxa"/>
            <w:left w:w="10" w:type="dxa"/>
            <w:bottom w:w="0" w:type="dxa"/>
            <w:right w:w="10" w:type="dxa"/>
          </w:tblCellMar>
        </w:tblPrEx>
        <w:trPr>
          <w:trHeight w:val="7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25443D">
            <w:pPr>
              <w:spacing w:after="200" w:line="594" w:lineRule="exact"/>
              <w:jc w:val="left"/>
              <w:rPr>
                <w:rFonts w:eastAsia="仿宋_GB2312" w:cs="仿宋_GB2312"/>
                <w:sz w:val="32"/>
                <w:szCs w:val="32"/>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694F29">
            <w:pPr>
              <w:spacing w:after="200" w:line="594" w:lineRule="exact"/>
              <w:jc w:val="left"/>
              <w:rPr>
                <w:rFonts w:eastAsia="仿宋_GB2312" w:cs="仿宋_GB2312"/>
                <w:sz w:val="32"/>
                <w:szCs w:val="32"/>
              </w:rPr>
            </w:pPr>
          </w:p>
        </w:tc>
        <w:tc>
          <w:tcPr>
            <w:tcW w:w="68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0F2AB">
            <w:pPr>
              <w:spacing w:after="200" w:line="594" w:lineRule="exact"/>
              <w:jc w:val="left"/>
              <w:rPr>
                <w:rFonts w:eastAsia="仿宋_GB2312" w:cs="仿宋_GB2312"/>
                <w:sz w:val="32"/>
                <w:szCs w:val="32"/>
              </w:rPr>
            </w:pPr>
          </w:p>
        </w:tc>
      </w:tr>
      <w:tr w14:paraId="04BD05DC">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418E1">
            <w:pPr>
              <w:spacing w:line="594" w:lineRule="exact"/>
              <w:jc w:val="center"/>
              <w:rPr>
                <w:rFonts w:eastAsia="仿宋_GB2312" w:cs="仿宋_GB2312"/>
                <w:sz w:val="32"/>
                <w:szCs w:val="32"/>
              </w:rPr>
            </w:pPr>
            <w:r>
              <w:rPr>
                <w:rFonts w:eastAsia="仿宋_GB2312" w:cs="仿宋_GB2312"/>
                <w:sz w:val="32"/>
                <w:szCs w:val="32"/>
              </w:rPr>
              <w:t>9</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92F52">
            <w:pPr>
              <w:spacing w:line="594" w:lineRule="exact"/>
              <w:jc w:val="center"/>
              <w:rPr>
                <w:rFonts w:eastAsia="仿宋_GB2312" w:cs="仿宋_GB2312"/>
                <w:sz w:val="32"/>
                <w:szCs w:val="32"/>
              </w:rPr>
            </w:pPr>
            <w:r>
              <w:rPr>
                <w:rFonts w:eastAsia="仿宋_GB2312" w:cs="仿宋_GB2312"/>
                <w:sz w:val="32"/>
                <w:szCs w:val="32"/>
              </w:rPr>
              <w:t>清洁</w:t>
            </w:r>
          </w:p>
          <w:p w14:paraId="429356EB">
            <w:pPr>
              <w:spacing w:line="594" w:lineRule="exact"/>
              <w:jc w:val="center"/>
              <w:rPr>
                <w:rFonts w:eastAsia="仿宋_GB2312" w:cs="仿宋_GB2312"/>
                <w:sz w:val="32"/>
                <w:szCs w:val="32"/>
              </w:rPr>
            </w:pPr>
            <w:r>
              <w:rPr>
                <w:rFonts w:eastAsia="仿宋_GB2312" w:cs="仿宋_GB2312"/>
                <w:sz w:val="32"/>
                <w:szCs w:val="32"/>
              </w:rPr>
              <w:t>消毒</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C0F48">
            <w:pPr>
              <w:spacing w:line="594" w:lineRule="exact"/>
              <w:ind w:firstLine="719" w:firstLineChars="229"/>
              <w:rPr>
                <w:rFonts w:eastAsia="仿宋_GB2312" w:cs="仿宋_GB2312"/>
                <w:sz w:val="32"/>
                <w:szCs w:val="32"/>
              </w:rPr>
            </w:pPr>
            <w:r>
              <w:rPr>
                <w:rFonts w:eastAsia="仿宋_GB2312" w:cs="仿宋_GB2312"/>
                <w:sz w:val="32"/>
                <w:szCs w:val="32"/>
              </w:rPr>
              <w:t>应根据原料、产品和工艺的特点，针对生产设备和环境制定有效的清洁消毒方案，降低污染并避免造成新的污染。</w:t>
            </w:r>
          </w:p>
          <w:p w14:paraId="36B25A31">
            <w:pPr>
              <w:spacing w:line="594" w:lineRule="exact"/>
              <w:ind w:firstLine="719" w:firstLineChars="229"/>
              <w:rPr>
                <w:rFonts w:eastAsia="仿宋_GB2312" w:cs="仿宋_GB2312"/>
                <w:sz w:val="32"/>
                <w:szCs w:val="32"/>
              </w:rPr>
            </w:pPr>
            <w:r>
              <w:rPr>
                <w:rFonts w:eastAsia="仿宋_GB2312" w:cs="仿宋_GB2312"/>
                <w:sz w:val="32"/>
                <w:szCs w:val="32"/>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14:paraId="600048A8">
            <w:pPr>
              <w:spacing w:line="594" w:lineRule="exact"/>
              <w:ind w:firstLine="719" w:firstLineChars="229"/>
              <w:rPr>
                <w:rFonts w:eastAsia="仿宋_GB2312" w:cs="仿宋_GB2312"/>
                <w:sz w:val="32"/>
                <w:szCs w:val="32"/>
              </w:rPr>
            </w:pPr>
            <w:r>
              <w:rPr>
                <w:rFonts w:eastAsia="仿宋_GB2312" w:cs="仿宋_GB2312"/>
                <w:sz w:val="32"/>
                <w:szCs w:val="32"/>
              </w:rPr>
              <w:t>应配备足够的食品、工器具和设备的专用清洁设施。必要时应配备适宜的消毒设施。</w:t>
            </w:r>
          </w:p>
          <w:p w14:paraId="750126D6">
            <w:pPr>
              <w:spacing w:line="594" w:lineRule="exact"/>
              <w:ind w:firstLine="719" w:firstLineChars="229"/>
              <w:rPr>
                <w:rFonts w:eastAsia="仿宋_GB2312" w:cs="仿宋_GB2312"/>
                <w:sz w:val="32"/>
                <w:szCs w:val="32"/>
              </w:rPr>
            </w:pPr>
            <w:r>
              <w:rPr>
                <w:rFonts w:eastAsia="仿宋_GB2312" w:cs="仿宋_GB2312"/>
                <w:sz w:val="32"/>
                <w:szCs w:val="32"/>
              </w:rPr>
              <w:t>应采取措施避免清洁、消毒工器具带来的交叉污染。卫生间和废弃物等高污染区域的工具和设备应单独清洁和存放。</w:t>
            </w:r>
          </w:p>
          <w:p w14:paraId="29C37677">
            <w:pPr>
              <w:spacing w:line="594" w:lineRule="exact"/>
              <w:ind w:firstLine="719" w:firstLineChars="229"/>
              <w:rPr>
                <w:rFonts w:eastAsia="仿宋_GB2312" w:cs="仿宋_GB2312"/>
                <w:sz w:val="32"/>
                <w:szCs w:val="32"/>
              </w:rPr>
            </w:pPr>
            <w:r>
              <w:rPr>
                <w:rFonts w:eastAsia="仿宋_GB2312" w:cs="仿宋_GB2312"/>
                <w:sz w:val="32"/>
                <w:szCs w:val="32"/>
              </w:rPr>
              <w:t>食品清洗设施与洗手设施、工器具及设备的清洁设施应分离。</w:t>
            </w:r>
          </w:p>
        </w:tc>
      </w:tr>
      <w:tr w14:paraId="26D7C0B8">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99600A">
            <w:pPr>
              <w:spacing w:line="594" w:lineRule="exact"/>
              <w:jc w:val="center"/>
              <w:rPr>
                <w:rFonts w:eastAsia="仿宋_GB2312" w:cs="仿宋_GB2312"/>
                <w:sz w:val="32"/>
                <w:szCs w:val="32"/>
              </w:rPr>
            </w:pPr>
            <w:r>
              <w:rPr>
                <w:rFonts w:eastAsia="仿宋_GB2312" w:cs="仿宋_GB2312"/>
                <w:sz w:val="32"/>
                <w:szCs w:val="32"/>
              </w:rPr>
              <w:t>10</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7B2508">
            <w:pPr>
              <w:spacing w:line="594" w:lineRule="exact"/>
              <w:jc w:val="center"/>
              <w:rPr>
                <w:rFonts w:eastAsia="仿宋_GB2312" w:cs="仿宋_GB2312"/>
                <w:sz w:val="32"/>
                <w:szCs w:val="32"/>
              </w:rPr>
            </w:pPr>
            <w:r>
              <w:rPr>
                <w:rFonts w:eastAsia="仿宋_GB2312" w:cs="仿宋_GB2312"/>
                <w:sz w:val="32"/>
                <w:szCs w:val="32"/>
              </w:rPr>
              <w:t>虫害</w:t>
            </w:r>
          </w:p>
          <w:p w14:paraId="37619444">
            <w:pPr>
              <w:spacing w:line="594" w:lineRule="exact"/>
              <w:jc w:val="center"/>
              <w:rPr>
                <w:rFonts w:eastAsia="仿宋_GB2312" w:cs="仿宋_GB2312"/>
                <w:sz w:val="32"/>
                <w:szCs w:val="32"/>
              </w:rPr>
            </w:pPr>
            <w:r>
              <w:rPr>
                <w:rFonts w:eastAsia="仿宋_GB2312" w:cs="仿宋_GB2312"/>
                <w:sz w:val="32"/>
                <w:szCs w:val="32"/>
              </w:rPr>
              <w:t>防治</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7BE0C9">
            <w:pPr>
              <w:spacing w:line="594" w:lineRule="exact"/>
              <w:ind w:firstLine="719" w:firstLineChars="229"/>
              <w:rPr>
                <w:rFonts w:eastAsia="仿宋_GB2312" w:cs="仿宋_GB2312"/>
                <w:sz w:val="32"/>
                <w:szCs w:val="32"/>
              </w:rPr>
            </w:pPr>
            <w:r>
              <w:rPr>
                <w:rFonts w:eastAsia="仿宋_GB2312" w:cs="仿宋_GB2312"/>
                <w:sz w:val="32"/>
                <w:szCs w:val="32"/>
              </w:rPr>
              <w:t>应建立、实施和保持虫害控制规程，以预防、监视和控制或消除场所发生虫害的风险。程序应包括以下内容：</w:t>
            </w:r>
          </w:p>
          <w:p w14:paraId="743D4B5E">
            <w:pPr>
              <w:spacing w:line="594" w:lineRule="exact"/>
              <w:ind w:firstLine="719" w:firstLineChars="229"/>
              <w:rPr>
                <w:rFonts w:eastAsia="仿宋_GB2312" w:cs="仿宋_GB2312"/>
                <w:sz w:val="32"/>
                <w:szCs w:val="32"/>
              </w:rPr>
            </w:pPr>
            <w:r>
              <w:rPr>
                <w:rFonts w:eastAsia="仿宋_GB2312" w:cs="仿宋_GB2312"/>
                <w:sz w:val="32"/>
                <w:szCs w:val="32"/>
              </w:rPr>
              <w:t>制定和执行虫害控制措施，并定期检查。生产车间及仓库应采取有效措施，防止有害生物的藏匿或孳生或鼠类昆虫的侵入。如：</w:t>
            </w:r>
          </w:p>
          <w:p w14:paraId="5B2DF2CF">
            <w:pPr>
              <w:spacing w:line="594" w:lineRule="exact"/>
              <w:ind w:firstLine="719" w:firstLineChars="229"/>
              <w:rPr>
                <w:rFonts w:eastAsia="仿宋_GB2312" w:cs="仿宋_GB2312"/>
                <w:sz w:val="32"/>
                <w:szCs w:val="32"/>
              </w:rPr>
            </w:pPr>
            <w:r>
              <w:rPr>
                <w:rFonts w:eastAsia="仿宋_GB2312" w:cs="仿宋_GB2312"/>
                <w:sz w:val="32"/>
                <w:szCs w:val="32"/>
              </w:rPr>
              <w:t>—去除潜在藏匿或孳生点；</w:t>
            </w:r>
          </w:p>
          <w:p w14:paraId="3F20789F">
            <w:pPr>
              <w:spacing w:line="594" w:lineRule="exact"/>
              <w:ind w:firstLine="719" w:firstLineChars="229"/>
              <w:rPr>
                <w:rFonts w:eastAsia="仿宋_GB2312" w:cs="仿宋_GB2312"/>
                <w:sz w:val="32"/>
                <w:szCs w:val="32"/>
              </w:rPr>
            </w:pPr>
            <w:r>
              <w:rPr>
                <w:rFonts w:eastAsia="仿宋_GB2312" w:cs="仿宋_GB2312"/>
                <w:sz w:val="32"/>
                <w:szCs w:val="32"/>
              </w:rPr>
              <w:t>—场所周围的景观设计应尽量减少吸引和藏匿有害生物；</w:t>
            </w:r>
          </w:p>
          <w:p w14:paraId="582E0011">
            <w:pPr>
              <w:spacing w:line="594" w:lineRule="exact"/>
              <w:ind w:firstLine="719" w:firstLineChars="229"/>
              <w:rPr>
                <w:rFonts w:eastAsia="仿宋_GB2312" w:cs="仿宋_GB2312"/>
                <w:sz w:val="32"/>
                <w:szCs w:val="32"/>
              </w:rPr>
            </w:pPr>
            <w:r>
              <w:rPr>
                <w:rFonts w:eastAsia="仿宋_GB2312" w:cs="仿宋_GB2312"/>
                <w:sz w:val="32"/>
                <w:szCs w:val="32"/>
              </w:rPr>
              <w:t>—安装纱帘、纱网、防鼠板、防蝇灯、风幕；</w:t>
            </w:r>
          </w:p>
          <w:p w14:paraId="5DA40157">
            <w:pPr>
              <w:spacing w:line="594" w:lineRule="exact"/>
              <w:ind w:firstLine="719" w:firstLineChars="229"/>
              <w:rPr>
                <w:rFonts w:eastAsia="仿宋_GB2312" w:cs="仿宋_GB2312"/>
                <w:sz w:val="32"/>
                <w:szCs w:val="32"/>
              </w:rPr>
            </w:pPr>
            <w:r>
              <w:rPr>
                <w:rFonts w:eastAsia="仿宋_GB2312" w:cs="仿宋_GB2312"/>
                <w:sz w:val="32"/>
                <w:szCs w:val="32"/>
              </w:rPr>
              <w:t>—易孳生虫害的食品应离墙离地存放。</w:t>
            </w:r>
          </w:p>
          <w:p w14:paraId="70B1E372">
            <w:pPr>
              <w:spacing w:line="594" w:lineRule="exact"/>
              <w:ind w:firstLine="719" w:firstLineChars="229"/>
              <w:rPr>
                <w:rFonts w:eastAsia="仿宋_GB2312" w:cs="仿宋_GB2312"/>
                <w:sz w:val="32"/>
                <w:szCs w:val="32"/>
              </w:rPr>
            </w:pPr>
            <w:r>
              <w:rPr>
                <w:rFonts w:eastAsia="仿宋_GB2312" w:cs="仿宋_GB2312"/>
                <w:sz w:val="32"/>
                <w:szCs w:val="32"/>
              </w:rPr>
              <w:t>绘制虫害控制平面图，标明捕鼠器、粘鼠板、灭蝇灯、室外诱饵投放点、生化信息素捕杀装置等放置的位置。</w:t>
            </w:r>
          </w:p>
          <w:p w14:paraId="12A5B162">
            <w:pPr>
              <w:spacing w:line="594" w:lineRule="exact"/>
              <w:ind w:firstLine="719" w:firstLineChars="229"/>
              <w:rPr>
                <w:rFonts w:eastAsia="仿宋_GB2312" w:cs="仿宋_GB2312"/>
                <w:sz w:val="32"/>
                <w:szCs w:val="32"/>
              </w:rPr>
            </w:pPr>
            <w:r>
              <w:rPr>
                <w:rFonts w:eastAsia="仿宋_GB2312" w:cs="仿宋_GB2312"/>
                <w:sz w:val="32"/>
                <w:szCs w:val="32"/>
              </w:rPr>
              <w:t>若发现有虫鼠害痕迹时，应追查来源，消除隐患。采用物理、化学或生物制剂进行处理时，不应影响食品安全和食品应有的品质，不应污染食品接触表面、设备、工器具及包装材料。</w:t>
            </w:r>
          </w:p>
          <w:p w14:paraId="1691EFD1">
            <w:pPr>
              <w:spacing w:line="594" w:lineRule="exact"/>
              <w:ind w:firstLine="719" w:firstLineChars="229"/>
              <w:rPr>
                <w:rFonts w:eastAsia="仿宋_GB2312" w:cs="仿宋_GB2312"/>
                <w:sz w:val="32"/>
                <w:szCs w:val="32"/>
              </w:rPr>
            </w:pPr>
            <w:r>
              <w:rPr>
                <w:rFonts w:eastAsia="仿宋_GB2312" w:cs="仿宋_GB2312"/>
                <w:sz w:val="32"/>
                <w:szCs w:val="32"/>
              </w:rPr>
              <w:t>应保留虫害防治的记录。</w:t>
            </w:r>
          </w:p>
          <w:p w14:paraId="07957A7B">
            <w:pPr>
              <w:spacing w:line="594" w:lineRule="exact"/>
              <w:ind w:firstLine="719" w:firstLineChars="229"/>
              <w:rPr>
                <w:rFonts w:eastAsia="仿宋_GB2312" w:cs="仿宋_GB2312"/>
                <w:sz w:val="32"/>
                <w:szCs w:val="32"/>
              </w:rPr>
            </w:pPr>
            <w:r>
              <w:rPr>
                <w:rFonts w:eastAsia="仿宋_GB2312" w:cs="仿宋_GB2312"/>
                <w:sz w:val="32"/>
                <w:szCs w:val="32"/>
              </w:rPr>
              <w:t>如虫害控制采取外包方式，食品生产经营组织应对外包方进行监视。如有需要，确保外包方或其指定的虫害控制操作人员采取纠正措施（如消灭虫害、消除藏匿点或入侵路线）。</w:t>
            </w:r>
          </w:p>
        </w:tc>
      </w:tr>
      <w:tr w14:paraId="25F8B8D1">
        <w:tblPrEx>
          <w:tblCellMar>
            <w:top w:w="0" w:type="dxa"/>
            <w:left w:w="10" w:type="dxa"/>
            <w:bottom w:w="0" w:type="dxa"/>
            <w:right w:w="1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7A750D">
            <w:pPr>
              <w:spacing w:line="594" w:lineRule="exact"/>
              <w:jc w:val="center"/>
              <w:rPr>
                <w:rFonts w:eastAsia="仿宋_GB2312" w:cs="仿宋_GB2312"/>
                <w:sz w:val="32"/>
                <w:szCs w:val="32"/>
              </w:rPr>
            </w:pPr>
            <w:r>
              <w:rPr>
                <w:rFonts w:eastAsia="仿宋_GB2312" w:cs="仿宋_GB2312"/>
                <w:sz w:val="32"/>
                <w:szCs w:val="32"/>
              </w:rPr>
              <w:t>11</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CAAE5C">
            <w:pPr>
              <w:spacing w:line="594" w:lineRule="exact"/>
              <w:jc w:val="center"/>
              <w:rPr>
                <w:rFonts w:eastAsia="仿宋_GB2312" w:cs="仿宋_GB2312"/>
                <w:sz w:val="32"/>
                <w:szCs w:val="32"/>
              </w:rPr>
            </w:pPr>
            <w:r>
              <w:rPr>
                <w:rFonts w:eastAsia="仿宋_GB2312" w:cs="仿宋_GB2312"/>
                <w:sz w:val="32"/>
                <w:szCs w:val="32"/>
              </w:rPr>
              <w:t>员工</w:t>
            </w:r>
          </w:p>
          <w:p w14:paraId="2699070D">
            <w:pPr>
              <w:spacing w:line="594" w:lineRule="exact"/>
              <w:jc w:val="center"/>
              <w:rPr>
                <w:rFonts w:eastAsia="仿宋_GB2312" w:cs="仿宋_GB2312"/>
                <w:sz w:val="32"/>
                <w:szCs w:val="32"/>
              </w:rPr>
            </w:pPr>
            <w:r>
              <w:rPr>
                <w:rFonts w:eastAsia="仿宋_GB2312" w:cs="仿宋_GB2312"/>
                <w:sz w:val="32"/>
                <w:szCs w:val="32"/>
              </w:rPr>
              <w:t>卫生</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076594">
            <w:pPr>
              <w:spacing w:line="594" w:lineRule="exact"/>
              <w:ind w:firstLine="719" w:firstLineChars="229"/>
              <w:rPr>
                <w:rFonts w:eastAsia="仿宋_GB2312" w:cs="仿宋_GB2312"/>
                <w:sz w:val="32"/>
                <w:szCs w:val="32"/>
              </w:rPr>
            </w:pPr>
            <w:r>
              <w:rPr>
                <w:rFonts w:eastAsia="仿宋_GB2312" w:cs="仿宋_GB2312"/>
                <w:sz w:val="32"/>
                <w:szCs w:val="32"/>
              </w:rPr>
              <w:t>应建立个人卫生控制规程。应确保所有员工意识到良好个人卫生的重要性，理解和遵守确保食品安全和宜食用性的操作规范。</w:t>
            </w:r>
          </w:p>
          <w:p w14:paraId="43A0A41D">
            <w:pPr>
              <w:spacing w:line="594" w:lineRule="exact"/>
              <w:ind w:firstLine="719" w:firstLineChars="229"/>
              <w:rPr>
                <w:rFonts w:eastAsia="仿宋_GB2312" w:cs="仿宋_GB2312"/>
                <w:sz w:val="32"/>
                <w:szCs w:val="32"/>
              </w:rPr>
            </w:pPr>
            <w:r>
              <w:rPr>
                <w:rFonts w:eastAsia="仿宋_GB2312" w:cs="仿宋_GB2312"/>
                <w:sz w:val="32"/>
                <w:szCs w:val="32"/>
              </w:rPr>
              <w:t>应提供必要的员工卫生设施并维护良好。适宜时，应包括更衣室、工作鞋靴消毒设施和/或穿戴鞋套设施、洗手设施、干手设施、手消毒设施、风淋室、淋浴室和卫生间等。</w:t>
            </w:r>
          </w:p>
          <w:p w14:paraId="0772D976">
            <w:pPr>
              <w:spacing w:line="594" w:lineRule="exact"/>
              <w:ind w:firstLine="719" w:firstLineChars="229"/>
              <w:rPr>
                <w:rFonts w:eastAsia="仿宋_GB2312" w:cs="仿宋_GB2312"/>
                <w:sz w:val="32"/>
                <w:szCs w:val="32"/>
              </w:rPr>
            </w:pPr>
            <w:r>
              <w:rPr>
                <w:rFonts w:eastAsia="仿宋_GB2312" w:cs="仿宋_GB2312"/>
                <w:sz w:val="32"/>
                <w:szCs w:val="32"/>
              </w:rPr>
              <w:t>员工卫生设施的设计应不会造成交叉污染，保证将食品安全的风险降至最低。</w:t>
            </w:r>
          </w:p>
          <w:p w14:paraId="49A6CE12">
            <w:pPr>
              <w:spacing w:line="594" w:lineRule="exact"/>
              <w:ind w:firstLine="719" w:firstLineChars="229"/>
              <w:rPr>
                <w:rFonts w:eastAsia="仿宋_GB2312" w:cs="仿宋_GB2312"/>
                <w:sz w:val="32"/>
                <w:szCs w:val="32"/>
              </w:rPr>
            </w:pPr>
            <w:r>
              <w:rPr>
                <w:rFonts w:eastAsia="仿宋_GB2312" w:cs="仿宋_GB2312"/>
                <w:sz w:val="32"/>
                <w:szCs w:val="32"/>
              </w:rPr>
              <w:t>对于临时/流动食品生产经营场所，必要时，应配备卫生和洗手设施。</w:t>
            </w:r>
          </w:p>
        </w:tc>
      </w:tr>
      <w:tr w14:paraId="7E3926ED">
        <w:tblPrEx>
          <w:tblCellMar>
            <w:top w:w="0" w:type="dxa"/>
            <w:left w:w="10" w:type="dxa"/>
            <w:bottom w:w="0" w:type="dxa"/>
            <w:right w:w="1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A789A2">
            <w:pPr>
              <w:spacing w:line="594" w:lineRule="exact"/>
              <w:jc w:val="center"/>
              <w:rPr>
                <w:rFonts w:eastAsia="仿宋_GB2312" w:cs="仿宋_GB2312"/>
                <w:sz w:val="32"/>
                <w:szCs w:val="32"/>
              </w:rPr>
            </w:pPr>
            <w:r>
              <w:rPr>
                <w:rFonts w:eastAsia="仿宋_GB2312" w:cs="仿宋_GB2312"/>
                <w:sz w:val="32"/>
                <w:szCs w:val="32"/>
              </w:rPr>
              <w:t>12</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DE4C7F">
            <w:pPr>
              <w:spacing w:line="594" w:lineRule="exact"/>
              <w:jc w:val="center"/>
              <w:rPr>
                <w:rFonts w:eastAsia="仿宋_GB2312" w:cs="仿宋_GB2312"/>
                <w:sz w:val="32"/>
                <w:szCs w:val="32"/>
              </w:rPr>
            </w:pPr>
            <w:r>
              <w:rPr>
                <w:rFonts w:eastAsia="仿宋_GB2312" w:cs="仿宋_GB2312"/>
                <w:sz w:val="32"/>
                <w:szCs w:val="32"/>
              </w:rPr>
              <w:t>工作服</w:t>
            </w:r>
          </w:p>
          <w:p w14:paraId="37CE2197">
            <w:pPr>
              <w:spacing w:line="594" w:lineRule="exact"/>
              <w:jc w:val="center"/>
              <w:rPr>
                <w:rFonts w:eastAsia="仿宋_GB2312" w:cs="仿宋_GB2312"/>
                <w:sz w:val="32"/>
                <w:szCs w:val="32"/>
              </w:rPr>
            </w:pPr>
            <w:r>
              <w:rPr>
                <w:rFonts w:eastAsia="仿宋_GB2312" w:cs="仿宋_GB2312"/>
                <w:sz w:val="32"/>
                <w:szCs w:val="32"/>
              </w:rPr>
              <w:t>管理</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C945CE">
            <w:pPr>
              <w:spacing w:line="594" w:lineRule="exact"/>
              <w:ind w:firstLine="719" w:firstLineChars="229"/>
              <w:rPr>
                <w:rFonts w:eastAsia="仿宋_GB2312" w:cs="仿宋_GB2312"/>
                <w:sz w:val="32"/>
                <w:szCs w:val="32"/>
              </w:rPr>
            </w:pPr>
            <w:r>
              <w:rPr>
                <w:rFonts w:eastAsia="仿宋_GB2312" w:cs="仿宋_GB2312"/>
                <w:sz w:val="32"/>
                <w:szCs w:val="32"/>
              </w:rPr>
              <w:t>应根据防护程度的要求，为进入作业区的员工提供适用的工作服及配套用品，以便将食品安全风险降至最低。包括但不限于：口罩、帽子、发网、衣、裤、鞋靴、围裙、套袖、手套等。</w:t>
            </w:r>
          </w:p>
          <w:p w14:paraId="295DAFDF">
            <w:pPr>
              <w:spacing w:line="594" w:lineRule="exact"/>
              <w:ind w:firstLine="719" w:firstLineChars="229"/>
              <w:rPr>
                <w:rFonts w:eastAsia="仿宋_GB2312" w:cs="仿宋_GB2312"/>
                <w:sz w:val="32"/>
                <w:szCs w:val="32"/>
              </w:rPr>
            </w:pPr>
            <w:r>
              <w:rPr>
                <w:rFonts w:eastAsia="仿宋_GB2312" w:cs="仿宋_GB2312"/>
                <w:sz w:val="32"/>
                <w:szCs w:val="32"/>
              </w:rPr>
              <w:t>工作服应定期清洗，必要时消毒。</w:t>
            </w:r>
          </w:p>
        </w:tc>
      </w:tr>
      <w:tr w14:paraId="0BBAC48A">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0AA3CF">
            <w:pPr>
              <w:spacing w:line="594" w:lineRule="exact"/>
              <w:jc w:val="center"/>
              <w:rPr>
                <w:rFonts w:eastAsia="仿宋_GB2312" w:cs="仿宋_GB2312"/>
                <w:sz w:val="32"/>
                <w:szCs w:val="32"/>
              </w:rPr>
            </w:pPr>
            <w:r>
              <w:rPr>
                <w:rFonts w:eastAsia="仿宋_GB2312" w:cs="仿宋_GB2312"/>
                <w:sz w:val="32"/>
                <w:szCs w:val="32"/>
              </w:rPr>
              <w:t>13</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252914">
            <w:pPr>
              <w:spacing w:line="594" w:lineRule="exact"/>
              <w:jc w:val="center"/>
              <w:rPr>
                <w:rFonts w:eastAsia="仿宋_GB2312" w:cs="仿宋_GB2312"/>
                <w:sz w:val="32"/>
                <w:szCs w:val="32"/>
              </w:rPr>
            </w:pPr>
            <w:r>
              <w:rPr>
                <w:rFonts w:eastAsia="仿宋_GB2312" w:cs="仿宋_GB2312"/>
                <w:sz w:val="32"/>
                <w:szCs w:val="32"/>
              </w:rPr>
              <w:t>员工</w:t>
            </w:r>
          </w:p>
          <w:p w14:paraId="3BC006D8">
            <w:pPr>
              <w:spacing w:line="594" w:lineRule="exact"/>
              <w:jc w:val="center"/>
              <w:rPr>
                <w:rFonts w:eastAsia="仿宋_GB2312" w:cs="仿宋_GB2312"/>
                <w:sz w:val="32"/>
                <w:szCs w:val="32"/>
              </w:rPr>
            </w:pPr>
            <w:r>
              <w:rPr>
                <w:rFonts w:eastAsia="仿宋_GB2312" w:cs="仿宋_GB2312"/>
                <w:sz w:val="32"/>
                <w:szCs w:val="32"/>
              </w:rPr>
              <w:t>健康</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A7477D">
            <w:pPr>
              <w:spacing w:line="594" w:lineRule="exact"/>
              <w:ind w:firstLine="719" w:firstLineChars="229"/>
              <w:rPr>
                <w:rFonts w:eastAsia="仿宋_GB2312" w:cs="仿宋_GB2312"/>
                <w:sz w:val="32"/>
                <w:szCs w:val="32"/>
              </w:rPr>
            </w:pPr>
            <w:r>
              <w:rPr>
                <w:rFonts w:eastAsia="仿宋_GB2312" w:cs="仿宋_GB2312"/>
                <w:sz w:val="32"/>
                <w:szCs w:val="32"/>
              </w:rPr>
              <w:t>应对员工健康进行管理，明确健康标准，以降低食品安全风险。</w:t>
            </w:r>
          </w:p>
          <w:p w14:paraId="30897CEC">
            <w:pPr>
              <w:spacing w:line="594" w:lineRule="exact"/>
              <w:ind w:firstLine="719" w:firstLineChars="229"/>
              <w:rPr>
                <w:rFonts w:eastAsia="仿宋_GB2312" w:cs="仿宋_GB2312"/>
                <w:sz w:val="32"/>
                <w:szCs w:val="32"/>
              </w:rPr>
            </w:pPr>
            <w:r>
              <w:rPr>
                <w:rFonts w:eastAsia="仿宋_GB2312" w:cs="仿宋_GB2312"/>
                <w:sz w:val="32"/>
                <w:szCs w:val="32"/>
              </w:rPr>
              <w:t>对于患有传染性疾病或对食品安全有直接影响的食品生产/经营人员，不应让其进入任何食品处理区域，并及时向上级报告。对于某些疾病，应适当考虑在返回工作岗位前获取体检合格证明。必要时，应将有伤口的人员分配到他们不会直接接触食品的地方工作。如果允许受伤人员继续工作，应采取适当措施，对受伤人员伤口进行处理，并防止防护用品或医疗用品污染食品。</w:t>
            </w:r>
          </w:p>
          <w:p w14:paraId="146F5FC4">
            <w:pPr>
              <w:spacing w:line="594" w:lineRule="exact"/>
              <w:ind w:firstLine="719" w:firstLineChars="229"/>
              <w:rPr>
                <w:rFonts w:eastAsia="仿宋_GB2312" w:cs="仿宋_GB2312"/>
                <w:sz w:val="32"/>
                <w:szCs w:val="32"/>
              </w:rPr>
            </w:pPr>
            <w:r>
              <w:rPr>
                <w:rFonts w:eastAsia="仿宋_GB2312" w:cs="仿宋_GB2312"/>
                <w:sz w:val="32"/>
                <w:szCs w:val="32"/>
              </w:rPr>
              <w:t>应每年对食品安全有直接影响的生产/经营人员进行健康检查，保留记录。</w:t>
            </w:r>
          </w:p>
        </w:tc>
      </w:tr>
      <w:tr w14:paraId="0E7F2A04">
        <w:tblPrEx>
          <w:tblCellMar>
            <w:top w:w="0" w:type="dxa"/>
            <w:left w:w="10" w:type="dxa"/>
            <w:bottom w:w="0" w:type="dxa"/>
            <w:right w:w="1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12CDFA">
            <w:pPr>
              <w:spacing w:line="594" w:lineRule="exact"/>
              <w:jc w:val="center"/>
              <w:rPr>
                <w:rFonts w:eastAsia="仿宋_GB2312" w:cs="仿宋_GB2312"/>
                <w:sz w:val="32"/>
                <w:szCs w:val="32"/>
              </w:rPr>
            </w:pPr>
            <w:r>
              <w:rPr>
                <w:rFonts w:eastAsia="仿宋_GB2312" w:cs="仿宋_GB2312"/>
                <w:sz w:val="32"/>
                <w:szCs w:val="32"/>
              </w:rPr>
              <w:t>14</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44D36E">
            <w:pPr>
              <w:spacing w:line="594" w:lineRule="exact"/>
              <w:jc w:val="center"/>
              <w:rPr>
                <w:rFonts w:eastAsia="仿宋_GB2312" w:cs="仿宋_GB2312"/>
                <w:sz w:val="32"/>
                <w:szCs w:val="32"/>
              </w:rPr>
            </w:pPr>
            <w:r>
              <w:rPr>
                <w:rFonts w:eastAsia="仿宋_GB2312" w:cs="仿宋_GB2312"/>
                <w:sz w:val="32"/>
                <w:szCs w:val="32"/>
              </w:rPr>
              <w:t>场所</w:t>
            </w:r>
          </w:p>
          <w:p w14:paraId="124834B7">
            <w:pPr>
              <w:spacing w:line="594" w:lineRule="exact"/>
              <w:jc w:val="center"/>
              <w:rPr>
                <w:rFonts w:eastAsia="仿宋_GB2312" w:cs="仿宋_GB2312"/>
                <w:sz w:val="32"/>
                <w:szCs w:val="32"/>
              </w:rPr>
            </w:pPr>
            <w:r>
              <w:rPr>
                <w:rFonts w:eastAsia="仿宋_GB2312" w:cs="仿宋_GB2312"/>
                <w:sz w:val="32"/>
                <w:szCs w:val="32"/>
              </w:rPr>
              <w:t>巡检</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EB1AF8">
            <w:pPr>
              <w:spacing w:line="594" w:lineRule="exact"/>
              <w:ind w:firstLine="719" w:firstLineChars="229"/>
              <w:rPr>
                <w:rFonts w:eastAsia="仿宋_GB2312" w:cs="仿宋_GB2312"/>
                <w:sz w:val="32"/>
                <w:szCs w:val="32"/>
              </w:rPr>
            </w:pPr>
            <w:r>
              <w:rPr>
                <w:rFonts w:eastAsia="仿宋_GB2312" w:cs="仿宋_GB2312"/>
                <w:sz w:val="32"/>
                <w:szCs w:val="32"/>
              </w:rPr>
              <w:t>应根据产品的特点以及生产经营过程的卫生要求，建立对保证食品安全具有显著意义的关键步骤的巡检计划，按规定的频次检查生产环境、食品加工人员、设备及设施，对发现的问题及时纠正，确保场所环境和加工设备保持适当的状态。</w:t>
            </w:r>
          </w:p>
        </w:tc>
      </w:tr>
      <w:tr w14:paraId="43972D22">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C36174">
            <w:pPr>
              <w:spacing w:line="594" w:lineRule="exact"/>
              <w:jc w:val="center"/>
              <w:rPr>
                <w:rFonts w:eastAsia="仿宋_GB2312" w:cs="仿宋_GB2312"/>
                <w:sz w:val="32"/>
                <w:szCs w:val="32"/>
              </w:rPr>
            </w:pPr>
            <w:r>
              <w:rPr>
                <w:rFonts w:eastAsia="仿宋_GB2312" w:cs="仿宋_GB2312"/>
                <w:sz w:val="32"/>
                <w:szCs w:val="32"/>
              </w:rPr>
              <w:t>15</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DFEEA5">
            <w:pPr>
              <w:spacing w:line="594" w:lineRule="exact"/>
              <w:jc w:val="center"/>
              <w:rPr>
                <w:rFonts w:eastAsia="仿宋_GB2312" w:cs="仿宋_GB2312"/>
                <w:sz w:val="32"/>
                <w:szCs w:val="32"/>
              </w:rPr>
            </w:pPr>
            <w:r>
              <w:rPr>
                <w:rFonts w:eastAsia="仿宋_GB2312" w:cs="仿宋_GB2312"/>
                <w:sz w:val="32"/>
                <w:szCs w:val="32"/>
              </w:rPr>
              <w:t>返工</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01850A">
            <w:pPr>
              <w:spacing w:line="594" w:lineRule="exact"/>
              <w:ind w:firstLine="628" w:firstLineChars="200"/>
              <w:rPr>
                <w:rFonts w:eastAsia="仿宋_GB2312" w:cs="仿宋_GB2312"/>
                <w:sz w:val="32"/>
                <w:szCs w:val="32"/>
              </w:rPr>
            </w:pPr>
            <w:r>
              <w:rPr>
                <w:rFonts w:eastAsia="仿宋_GB2312" w:cs="仿宋_GB2312"/>
                <w:sz w:val="32"/>
                <w:szCs w:val="32"/>
              </w:rPr>
              <w:t>返工品的存放、处置和使用应保持产品的质量、安全和可追溯，并符合相关法律法规要求。</w:t>
            </w:r>
          </w:p>
          <w:p w14:paraId="033DB19C">
            <w:pPr>
              <w:spacing w:line="594" w:lineRule="exact"/>
              <w:ind w:firstLine="628" w:firstLineChars="200"/>
              <w:rPr>
                <w:rFonts w:eastAsia="仿宋_GB2312" w:cs="仿宋_GB2312"/>
                <w:sz w:val="32"/>
                <w:szCs w:val="32"/>
              </w:rPr>
            </w:pPr>
            <w:r>
              <w:rPr>
                <w:rFonts w:eastAsia="仿宋_GB2312" w:cs="仿宋_GB2312"/>
                <w:sz w:val="32"/>
                <w:szCs w:val="32"/>
              </w:rPr>
              <w:t>应清晰识别和（或）标识返工品以确保可追溯。应保留返工品的可追溯记录。</w:t>
            </w:r>
          </w:p>
          <w:p w14:paraId="6CEC7644">
            <w:pPr>
              <w:spacing w:line="594" w:lineRule="exact"/>
              <w:ind w:firstLine="719" w:firstLineChars="229"/>
              <w:rPr>
                <w:rFonts w:eastAsia="仿宋_GB2312" w:cs="仿宋_GB2312"/>
                <w:sz w:val="32"/>
                <w:szCs w:val="32"/>
              </w:rPr>
            </w:pPr>
            <w:r>
              <w:rPr>
                <w:rFonts w:eastAsia="仿宋_GB2312" w:cs="仿宋_GB2312"/>
                <w:sz w:val="32"/>
                <w:szCs w:val="32"/>
              </w:rPr>
              <w:t>应记录返工品的分类和原因（如产品名称、生产日期、班次、生产线和保质期）。</w:t>
            </w:r>
          </w:p>
        </w:tc>
      </w:tr>
      <w:tr w14:paraId="469B4BDE">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CE2963">
            <w:pPr>
              <w:spacing w:line="594" w:lineRule="exact"/>
              <w:jc w:val="center"/>
              <w:rPr>
                <w:rFonts w:eastAsia="仿宋_GB2312" w:cs="仿宋_GB2312"/>
                <w:sz w:val="32"/>
                <w:szCs w:val="32"/>
              </w:rPr>
            </w:pPr>
            <w:r>
              <w:rPr>
                <w:rFonts w:eastAsia="仿宋_GB2312" w:cs="仿宋_GB2312"/>
                <w:sz w:val="32"/>
                <w:szCs w:val="32"/>
              </w:rPr>
              <w:t>16</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FC09C">
            <w:pPr>
              <w:spacing w:line="594" w:lineRule="exact"/>
              <w:jc w:val="center"/>
              <w:rPr>
                <w:rFonts w:eastAsia="仿宋_GB2312" w:cs="仿宋_GB2312"/>
                <w:sz w:val="32"/>
                <w:szCs w:val="32"/>
              </w:rPr>
            </w:pPr>
            <w:r>
              <w:rPr>
                <w:rFonts w:eastAsia="仿宋_GB2312" w:cs="仿宋_GB2312"/>
                <w:sz w:val="32"/>
                <w:szCs w:val="32"/>
              </w:rPr>
              <w:t>运输</w:t>
            </w:r>
          </w:p>
          <w:p w14:paraId="338B151F">
            <w:pPr>
              <w:spacing w:line="594" w:lineRule="exact"/>
              <w:jc w:val="center"/>
              <w:rPr>
                <w:rFonts w:eastAsia="仿宋_GB2312" w:cs="仿宋_GB2312"/>
                <w:sz w:val="32"/>
                <w:szCs w:val="32"/>
              </w:rPr>
            </w:pPr>
            <w:r>
              <w:rPr>
                <w:rFonts w:eastAsia="仿宋_GB2312" w:cs="仿宋_GB2312"/>
                <w:sz w:val="32"/>
                <w:szCs w:val="32"/>
              </w:rPr>
              <w:t>储存</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3B5AD2">
            <w:pPr>
              <w:spacing w:line="594" w:lineRule="exact"/>
              <w:ind w:firstLine="628" w:firstLineChars="200"/>
              <w:rPr>
                <w:rFonts w:eastAsia="仿宋_GB2312" w:cs="仿宋_GB2312"/>
                <w:sz w:val="32"/>
                <w:szCs w:val="32"/>
              </w:rPr>
            </w:pPr>
            <w:r>
              <w:rPr>
                <w:rFonts w:eastAsia="仿宋_GB2312" w:cs="仿宋_GB2312"/>
                <w:sz w:val="32"/>
                <w:szCs w:val="32"/>
              </w:rPr>
              <w:t>贮存、运输和装卸食品的容器、工器具和设备、车辆应当安全、无害，保持清洁和状况良好，适合预期用途，降低食品污染的风险。</w:t>
            </w:r>
          </w:p>
          <w:p w14:paraId="34130D56">
            <w:pPr>
              <w:spacing w:line="594" w:lineRule="exact"/>
              <w:ind w:firstLine="628" w:firstLineChars="200"/>
              <w:rPr>
                <w:rFonts w:eastAsia="仿宋_GB2312" w:cs="仿宋_GB2312"/>
                <w:sz w:val="32"/>
                <w:szCs w:val="32"/>
              </w:rPr>
            </w:pPr>
            <w:r>
              <w:rPr>
                <w:rFonts w:eastAsia="仿宋_GB2312" w:cs="仿宋_GB2312"/>
                <w:sz w:val="32"/>
                <w:szCs w:val="32"/>
              </w:rPr>
              <w:t>食品原料、食品添加剂、食品相关产品、半成品、成品和包装材料等应依据性质的不同分设贮存场所，或分区域码放，并有明确标识，防止交叉污染。</w:t>
            </w:r>
          </w:p>
          <w:p w14:paraId="59B3D6CA">
            <w:pPr>
              <w:spacing w:line="594" w:lineRule="exact"/>
              <w:ind w:firstLine="628" w:firstLineChars="200"/>
              <w:rPr>
                <w:rFonts w:eastAsia="仿宋_GB2312" w:cs="仿宋_GB2312"/>
                <w:sz w:val="32"/>
                <w:szCs w:val="32"/>
              </w:rPr>
            </w:pPr>
            <w:r>
              <w:rPr>
                <w:rFonts w:eastAsia="仿宋_GB2312" w:cs="仿宋_GB2312"/>
                <w:sz w:val="32"/>
                <w:szCs w:val="32"/>
              </w:rPr>
              <w:t>根据食品的特点和卫生需要选择适宜且受控的贮存和运输条件，必要时应配备保温、冷藏、保鲜等设施，并对温度、湿度和其他环境条件进行监控。</w:t>
            </w:r>
          </w:p>
          <w:p w14:paraId="0855F0A5">
            <w:pPr>
              <w:spacing w:line="594" w:lineRule="exact"/>
              <w:ind w:firstLine="628" w:firstLineChars="200"/>
              <w:rPr>
                <w:rFonts w:eastAsia="仿宋_GB2312" w:cs="仿宋_GB2312"/>
                <w:sz w:val="32"/>
                <w:szCs w:val="32"/>
              </w:rPr>
            </w:pPr>
            <w:r>
              <w:rPr>
                <w:rFonts w:eastAsia="仿宋_GB2312" w:cs="仿宋_GB2312"/>
                <w:sz w:val="32"/>
                <w:szCs w:val="32"/>
              </w:rPr>
              <w:t>不得将食品与有毒、有害或有异味的物料一同贮存运输。</w:t>
            </w:r>
          </w:p>
          <w:p w14:paraId="40EE9E7D">
            <w:pPr>
              <w:spacing w:line="594" w:lineRule="exact"/>
              <w:ind w:firstLine="628" w:firstLineChars="200"/>
              <w:rPr>
                <w:rFonts w:eastAsia="仿宋_GB2312" w:cs="仿宋_GB2312"/>
                <w:sz w:val="32"/>
                <w:szCs w:val="32"/>
              </w:rPr>
            </w:pPr>
            <w:r>
              <w:rPr>
                <w:rFonts w:eastAsia="仿宋_GB2312" w:cs="仿宋_GB2312"/>
                <w:sz w:val="32"/>
                <w:szCs w:val="32"/>
              </w:rPr>
              <w:t>运输散装食品的容器和运输工具，应确保食品安全和宜食用性不受影响。</w:t>
            </w:r>
          </w:p>
        </w:tc>
      </w:tr>
      <w:tr w14:paraId="54D4154C">
        <w:tblPrEx>
          <w:tblCellMar>
            <w:top w:w="0" w:type="dxa"/>
            <w:left w:w="10" w:type="dxa"/>
            <w:bottom w:w="0" w:type="dxa"/>
            <w:right w:w="10" w:type="dxa"/>
          </w:tblCellMar>
        </w:tblPrEx>
        <w:trPr>
          <w:trHeight w:val="1" w:hRule="atLeast"/>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C69CA3">
            <w:pPr>
              <w:spacing w:line="594" w:lineRule="exact"/>
              <w:jc w:val="center"/>
              <w:rPr>
                <w:rFonts w:eastAsia="仿宋_GB2312" w:cs="仿宋_GB2312"/>
                <w:sz w:val="32"/>
                <w:szCs w:val="32"/>
              </w:rPr>
            </w:pPr>
            <w:r>
              <w:rPr>
                <w:rFonts w:eastAsia="仿宋_GB2312" w:cs="仿宋_GB2312"/>
                <w:sz w:val="32"/>
                <w:szCs w:val="32"/>
              </w:rPr>
              <w:t>17</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30E5B2">
            <w:pPr>
              <w:spacing w:line="594" w:lineRule="exact"/>
              <w:jc w:val="center"/>
              <w:rPr>
                <w:rFonts w:eastAsia="仿宋_GB2312" w:cs="仿宋_GB2312"/>
                <w:sz w:val="32"/>
                <w:szCs w:val="32"/>
              </w:rPr>
            </w:pPr>
            <w:r>
              <w:rPr>
                <w:rFonts w:eastAsia="仿宋_GB2312" w:cs="仿宋_GB2312"/>
                <w:sz w:val="32"/>
                <w:szCs w:val="32"/>
              </w:rPr>
              <w:t>来访者</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9542C6">
            <w:pPr>
              <w:spacing w:line="594" w:lineRule="exact"/>
              <w:ind w:firstLine="628" w:firstLineChars="200"/>
              <w:rPr>
                <w:rFonts w:eastAsia="仿宋_GB2312" w:cs="仿宋_GB2312"/>
                <w:sz w:val="32"/>
                <w:szCs w:val="32"/>
              </w:rPr>
            </w:pPr>
            <w:r>
              <w:rPr>
                <w:rFonts w:eastAsia="仿宋_GB2312" w:cs="仿宋_GB2312"/>
                <w:sz w:val="32"/>
                <w:szCs w:val="32"/>
              </w:rPr>
              <w:t>被允许进入食品生产/经营场所的来访者，在进入时应遵守和食品生产/经营人员同样的卫生要求。</w:t>
            </w:r>
          </w:p>
        </w:tc>
      </w:tr>
      <w:tr w14:paraId="1C510BD1">
        <w:tblPrEx>
          <w:tblCellMar>
            <w:top w:w="0" w:type="dxa"/>
            <w:left w:w="10" w:type="dxa"/>
            <w:bottom w:w="0" w:type="dxa"/>
            <w:right w:w="10" w:type="dxa"/>
          </w:tblCellMar>
        </w:tblPrEx>
        <w:trPr>
          <w:jc w:val="center"/>
        </w:trPr>
        <w:tc>
          <w:tcPr>
            <w:tcW w:w="8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9AEF4E">
            <w:pPr>
              <w:spacing w:line="594" w:lineRule="exact"/>
              <w:jc w:val="center"/>
              <w:rPr>
                <w:rFonts w:eastAsia="仿宋_GB2312" w:cs="仿宋_GB2312"/>
                <w:sz w:val="32"/>
                <w:szCs w:val="32"/>
              </w:rPr>
            </w:pPr>
            <w:r>
              <w:rPr>
                <w:rFonts w:eastAsia="仿宋_GB2312" w:cs="仿宋_GB2312"/>
                <w:sz w:val="32"/>
                <w:szCs w:val="32"/>
              </w:rPr>
              <w:t>18</w:t>
            </w:r>
          </w:p>
        </w:tc>
        <w:tc>
          <w:tcPr>
            <w:tcW w:w="14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92E11B">
            <w:pPr>
              <w:spacing w:line="594" w:lineRule="exact"/>
              <w:jc w:val="center"/>
              <w:rPr>
                <w:rFonts w:eastAsia="仿宋_GB2312" w:cs="仿宋_GB2312"/>
                <w:sz w:val="32"/>
                <w:szCs w:val="32"/>
              </w:rPr>
            </w:pPr>
            <w:r>
              <w:rPr>
                <w:rFonts w:eastAsia="仿宋_GB2312" w:cs="仿宋_GB2312"/>
                <w:sz w:val="32"/>
                <w:szCs w:val="32"/>
              </w:rPr>
              <w:t>培训</w:t>
            </w:r>
          </w:p>
        </w:tc>
        <w:tc>
          <w:tcPr>
            <w:tcW w:w="6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1809D2">
            <w:pPr>
              <w:spacing w:line="594" w:lineRule="exact"/>
              <w:ind w:firstLine="628" w:firstLineChars="200"/>
              <w:rPr>
                <w:rFonts w:eastAsia="仿宋_GB2312" w:cs="仿宋_GB2312"/>
                <w:sz w:val="32"/>
                <w:szCs w:val="32"/>
              </w:rPr>
            </w:pPr>
            <w:r>
              <w:rPr>
                <w:rFonts w:eastAsia="仿宋_GB2312" w:cs="仿宋_GB2312"/>
                <w:sz w:val="32"/>
                <w:szCs w:val="32"/>
              </w:rPr>
              <w:t>应建立食品生产/经营相关岗位的人员培训计划，对食品生产/经营人员以及相关岗位的从业人员进行相应的食品安全知识培训。</w:t>
            </w:r>
          </w:p>
          <w:p w14:paraId="68DA2171">
            <w:pPr>
              <w:spacing w:line="594" w:lineRule="exact"/>
              <w:ind w:firstLine="628" w:firstLineChars="200"/>
              <w:rPr>
                <w:rFonts w:eastAsia="仿宋_GB2312" w:cs="仿宋_GB2312"/>
                <w:sz w:val="32"/>
                <w:szCs w:val="32"/>
              </w:rPr>
            </w:pPr>
            <w:r>
              <w:rPr>
                <w:rFonts w:eastAsia="仿宋_GB2312" w:cs="仿宋_GB2312"/>
                <w:sz w:val="32"/>
                <w:szCs w:val="32"/>
              </w:rPr>
              <w:t>应通过培训促进各岗位从业人员遵守食品安全相关法律法规标准和对各项食品安全管理制度的意识和责任，提高相应的知识水平。</w:t>
            </w:r>
          </w:p>
          <w:p w14:paraId="625EF538">
            <w:pPr>
              <w:spacing w:line="594" w:lineRule="exact"/>
              <w:ind w:firstLine="628" w:firstLineChars="200"/>
              <w:rPr>
                <w:rFonts w:eastAsia="仿宋_GB2312" w:cs="仿宋_GB2312"/>
                <w:sz w:val="32"/>
                <w:szCs w:val="32"/>
              </w:rPr>
            </w:pPr>
            <w:r>
              <w:rPr>
                <w:rFonts w:eastAsia="仿宋_GB2312" w:cs="仿宋_GB2312"/>
                <w:sz w:val="32"/>
                <w:szCs w:val="32"/>
              </w:rPr>
              <w:t>应根据食品生产/经营不同岗位的实际需求，制定和实施食品安全年度培训计划并进行考核，做好培训记录。</w:t>
            </w:r>
          </w:p>
          <w:p w14:paraId="516F8EC8">
            <w:pPr>
              <w:spacing w:line="594" w:lineRule="exact"/>
              <w:ind w:firstLine="628" w:firstLineChars="200"/>
              <w:rPr>
                <w:rFonts w:eastAsia="仿宋_GB2312" w:cs="仿宋_GB2312"/>
                <w:sz w:val="32"/>
                <w:szCs w:val="32"/>
              </w:rPr>
            </w:pPr>
            <w:r>
              <w:rPr>
                <w:rFonts w:eastAsia="仿宋_GB2312" w:cs="仿宋_GB2312"/>
                <w:sz w:val="32"/>
                <w:szCs w:val="32"/>
              </w:rPr>
              <w:t>当食品安全相关的法律法规标准更新时，应及时开展培训。</w:t>
            </w:r>
          </w:p>
          <w:p w14:paraId="61FD98C6">
            <w:pPr>
              <w:spacing w:line="594" w:lineRule="exact"/>
              <w:ind w:firstLine="628" w:firstLineChars="200"/>
              <w:rPr>
                <w:rFonts w:eastAsia="仿宋_GB2312" w:cs="仿宋_GB2312"/>
                <w:sz w:val="32"/>
                <w:szCs w:val="32"/>
              </w:rPr>
            </w:pPr>
            <w:r>
              <w:rPr>
                <w:rFonts w:eastAsia="仿宋_GB2312" w:cs="仿宋_GB2312"/>
                <w:sz w:val="32"/>
                <w:szCs w:val="32"/>
              </w:rPr>
              <w:t>应定期评审和更新培训计划，评估培训效果，并进行常规检查，以确保培训计划的有效实施。</w:t>
            </w:r>
          </w:p>
        </w:tc>
      </w:tr>
    </w:tbl>
    <w:p w14:paraId="1D5549B1">
      <w:pPr>
        <w:spacing w:line="594" w:lineRule="exact"/>
        <w:ind w:firstLine="407"/>
        <w:jc w:val="left"/>
        <w:rPr>
          <w:rFonts w:eastAsia="仿宋_GB2312" w:cs="仿宋_GB2312"/>
          <w:sz w:val="32"/>
          <w:szCs w:val="32"/>
        </w:rPr>
      </w:pPr>
    </w:p>
    <w:p w14:paraId="650A50FB">
      <w:pPr>
        <w:spacing w:line="594" w:lineRule="exact"/>
        <w:ind w:firstLine="798"/>
        <w:rPr>
          <w:rFonts w:eastAsia="仿宋_GB2312" w:cs="仿宋_GB2312"/>
          <w:sz w:val="32"/>
          <w:szCs w:val="32"/>
        </w:rPr>
      </w:pPr>
      <w:r>
        <w:rPr>
          <w:rFonts w:eastAsia="仿宋_GB2312" w:cs="仿宋_GB2312"/>
          <w:sz w:val="32"/>
          <w:szCs w:val="32"/>
        </w:rPr>
        <w:t>2.</w:t>
      </w:r>
      <w:r>
        <w:rPr>
          <w:rFonts w:hint="eastAsia" w:ascii="Times New Roman" w:hAnsi="Times New Roman" w:eastAsia="黑体" w:cs="黑体"/>
          <w:sz w:val="32"/>
          <w:szCs w:val="32"/>
        </w:rPr>
        <w:t>特殊行业要求</w:t>
      </w:r>
    </w:p>
    <w:p w14:paraId="0A9B2752">
      <w:pPr>
        <w:spacing w:line="594" w:lineRule="exact"/>
        <w:ind w:firstLine="625" w:firstLineChars="199"/>
        <w:rPr>
          <w:rFonts w:eastAsia="仿宋_GB2312" w:cs="仿宋_GB2312"/>
          <w:sz w:val="32"/>
          <w:szCs w:val="32"/>
        </w:rPr>
      </w:pPr>
      <w:r>
        <w:rPr>
          <w:rFonts w:eastAsia="仿宋_GB2312" w:cs="仿宋_GB2312"/>
          <w:sz w:val="32"/>
          <w:szCs w:val="32"/>
        </w:rPr>
        <w:t>以下产品类别食品生产/经营企业，考虑其行业特性，对下</w:t>
      </w:r>
      <w:r>
        <w:rPr>
          <w:rFonts w:hint="eastAsia" w:eastAsia="仿宋_GB2312" w:cs="仿宋_GB2312"/>
          <w:sz w:val="32"/>
          <w:szCs w:val="32"/>
        </w:rPr>
        <w:t>列</w:t>
      </w:r>
      <w:r>
        <w:rPr>
          <w:rFonts w:eastAsia="仿宋_GB2312" w:cs="仿宋_GB2312"/>
          <w:sz w:val="32"/>
          <w:szCs w:val="32"/>
        </w:rPr>
        <w:t>项目的要求规定如下：</w:t>
      </w:r>
    </w:p>
    <w:p w14:paraId="72BDCB4F">
      <w:pPr>
        <w:spacing w:line="594" w:lineRule="exact"/>
        <w:ind w:firstLine="0"/>
        <w:jc w:val="center"/>
        <w:rPr>
          <w:rFonts w:eastAsia="仿宋_GB2312" w:cs="仿宋_GB2312"/>
          <w:sz w:val="32"/>
          <w:szCs w:val="32"/>
        </w:rPr>
      </w:pPr>
      <w:r>
        <w:rPr>
          <w:rFonts w:hint="eastAsia" w:eastAsia="仿宋_GB2312" w:cs="仿宋_GB2312"/>
          <w:sz w:val="32"/>
          <w:szCs w:val="32"/>
        </w:rPr>
        <w:t>表A.2 特殊行业</w:t>
      </w:r>
      <w:r>
        <w:rPr>
          <w:rFonts w:eastAsia="仿宋_GB2312" w:cs="仿宋_GB2312"/>
          <w:sz w:val="32"/>
          <w:szCs w:val="32"/>
        </w:rPr>
        <w:t>良好卫生规范要求</w:t>
      </w:r>
    </w:p>
    <w:tbl>
      <w:tblPr>
        <w:tblStyle w:val="13"/>
        <w:tblW w:w="9174" w:type="dxa"/>
        <w:jc w:val="center"/>
        <w:tblLayout w:type="fixed"/>
        <w:tblCellMar>
          <w:top w:w="0" w:type="dxa"/>
          <w:left w:w="10" w:type="dxa"/>
          <w:bottom w:w="0" w:type="dxa"/>
          <w:right w:w="10" w:type="dxa"/>
        </w:tblCellMar>
      </w:tblPr>
      <w:tblGrid>
        <w:gridCol w:w="743"/>
        <w:gridCol w:w="1490"/>
        <w:gridCol w:w="1547"/>
        <w:gridCol w:w="5394"/>
      </w:tblGrid>
      <w:tr w14:paraId="4667460A">
        <w:tblPrEx>
          <w:tblCellMar>
            <w:top w:w="0" w:type="dxa"/>
            <w:left w:w="10" w:type="dxa"/>
            <w:bottom w:w="0" w:type="dxa"/>
            <w:right w:w="10" w:type="dxa"/>
          </w:tblCellMar>
        </w:tblPrEx>
        <w:trPr>
          <w:trHeight w:val="1"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978FA">
            <w:pPr>
              <w:spacing w:line="594" w:lineRule="exact"/>
              <w:jc w:val="center"/>
              <w:rPr>
                <w:rFonts w:eastAsia="仿宋_GB2312" w:cs="仿宋_GB2312"/>
                <w:sz w:val="32"/>
                <w:szCs w:val="32"/>
              </w:rPr>
            </w:pPr>
            <w:r>
              <w:rPr>
                <w:rFonts w:eastAsia="仿宋_GB2312" w:cs="仿宋_GB2312"/>
                <w:sz w:val="32"/>
                <w:szCs w:val="32"/>
              </w:rPr>
              <w:t>序号</w:t>
            </w:r>
          </w:p>
        </w:tc>
        <w:tc>
          <w:tcPr>
            <w:tcW w:w="1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35902">
            <w:pPr>
              <w:spacing w:line="594" w:lineRule="exact"/>
              <w:jc w:val="center"/>
              <w:rPr>
                <w:rFonts w:eastAsia="仿宋_GB2312" w:cs="仿宋_GB2312"/>
                <w:sz w:val="32"/>
                <w:szCs w:val="32"/>
              </w:rPr>
            </w:pPr>
            <w:r>
              <w:rPr>
                <w:rFonts w:eastAsia="仿宋_GB2312" w:cs="仿宋_GB2312"/>
                <w:sz w:val="32"/>
                <w:szCs w:val="32"/>
              </w:rPr>
              <w:t>行业（子行业）类别</w:t>
            </w: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C30228">
            <w:pPr>
              <w:spacing w:line="594" w:lineRule="exact"/>
              <w:jc w:val="center"/>
              <w:rPr>
                <w:rFonts w:eastAsia="仿宋_GB2312" w:cs="仿宋_GB2312"/>
                <w:sz w:val="32"/>
                <w:szCs w:val="32"/>
              </w:rPr>
            </w:pPr>
            <w:r>
              <w:rPr>
                <w:rFonts w:eastAsia="仿宋_GB2312" w:cs="仿宋_GB2312"/>
                <w:sz w:val="32"/>
                <w:szCs w:val="32"/>
              </w:rPr>
              <w:t>项目</w:t>
            </w:r>
          </w:p>
        </w:tc>
        <w:tc>
          <w:tcPr>
            <w:tcW w:w="53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88EA3B">
            <w:pPr>
              <w:spacing w:line="594" w:lineRule="exact"/>
              <w:jc w:val="center"/>
              <w:rPr>
                <w:rFonts w:eastAsia="仿宋_GB2312" w:cs="仿宋_GB2312"/>
                <w:sz w:val="32"/>
                <w:szCs w:val="32"/>
              </w:rPr>
            </w:pPr>
            <w:r>
              <w:rPr>
                <w:rFonts w:eastAsia="仿宋_GB2312" w:cs="仿宋_GB2312"/>
                <w:sz w:val="32"/>
                <w:szCs w:val="32"/>
              </w:rPr>
              <w:t>内容</w:t>
            </w:r>
          </w:p>
        </w:tc>
      </w:tr>
      <w:tr w14:paraId="7ED474F4">
        <w:tblPrEx>
          <w:tblCellMar>
            <w:top w:w="0" w:type="dxa"/>
            <w:left w:w="10" w:type="dxa"/>
            <w:bottom w:w="0" w:type="dxa"/>
            <w:right w:w="10" w:type="dxa"/>
          </w:tblCellMar>
        </w:tblPrEx>
        <w:trPr>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1504F">
            <w:pPr>
              <w:spacing w:line="594" w:lineRule="exact"/>
              <w:jc w:val="center"/>
              <w:rPr>
                <w:rFonts w:eastAsia="仿宋_GB2312" w:cs="仿宋_GB2312"/>
                <w:sz w:val="32"/>
                <w:szCs w:val="32"/>
              </w:rPr>
            </w:pPr>
            <w:r>
              <w:rPr>
                <w:rFonts w:eastAsia="仿宋_GB2312" w:cs="仿宋_GB2312"/>
                <w:sz w:val="32"/>
                <w:szCs w:val="32"/>
              </w:rPr>
              <w:t>1</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E81351">
            <w:pPr>
              <w:spacing w:line="594" w:lineRule="exact"/>
              <w:jc w:val="center"/>
              <w:rPr>
                <w:rFonts w:eastAsia="仿宋_GB2312" w:cs="仿宋_GB2312"/>
                <w:sz w:val="32"/>
                <w:szCs w:val="32"/>
              </w:rPr>
            </w:pPr>
            <w:r>
              <w:rPr>
                <w:rFonts w:eastAsia="仿宋_GB2312" w:cs="仿宋_GB2312"/>
                <w:sz w:val="32"/>
                <w:szCs w:val="32"/>
              </w:rPr>
              <w:t>I</w:t>
            </w: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C51C66">
            <w:pPr>
              <w:spacing w:line="594" w:lineRule="exact"/>
              <w:jc w:val="center"/>
              <w:rPr>
                <w:rFonts w:eastAsia="仿宋_GB2312" w:cs="仿宋_GB2312"/>
                <w:sz w:val="32"/>
                <w:szCs w:val="32"/>
              </w:rPr>
            </w:pPr>
            <w:r>
              <w:rPr>
                <w:rFonts w:eastAsia="仿宋_GB2312" w:cs="仿宋_GB2312"/>
                <w:sz w:val="32"/>
                <w:szCs w:val="32"/>
              </w:rPr>
              <w:t>废弃物</w:t>
            </w:r>
          </w:p>
          <w:p w14:paraId="6A9AF4EE">
            <w:pPr>
              <w:spacing w:line="594" w:lineRule="exact"/>
              <w:jc w:val="center"/>
              <w:rPr>
                <w:rFonts w:eastAsia="仿宋_GB2312" w:cs="仿宋_GB2312"/>
                <w:sz w:val="32"/>
                <w:szCs w:val="32"/>
              </w:rPr>
            </w:pPr>
            <w:r>
              <w:rPr>
                <w:rFonts w:eastAsia="仿宋_GB2312" w:cs="仿宋_GB2312"/>
                <w:sz w:val="32"/>
                <w:szCs w:val="32"/>
              </w:rPr>
              <w:t>管理</w:t>
            </w:r>
          </w:p>
        </w:tc>
        <w:tc>
          <w:tcPr>
            <w:tcW w:w="53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8E82A9">
            <w:pPr>
              <w:spacing w:line="594" w:lineRule="exact"/>
              <w:ind w:firstLine="628" w:firstLineChars="200"/>
              <w:rPr>
                <w:rFonts w:eastAsia="仿宋_GB2312" w:cs="仿宋_GB2312"/>
                <w:sz w:val="32"/>
                <w:szCs w:val="32"/>
              </w:rPr>
            </w:pPr>
            <w:r>
              <w:rPr>
                <w:rFonts w:eastAsia="仿宋_GB2312" w:cs="仿宋_GB2312"/>
                <w:sz w:val="32"/>
                <w:szCs w:val="32"/>
              </w:rPr>
              <w:t>应建立系统性的控制措施，对含有商标的废弃物进行处理，避免带有商标的印刷品误用、滥用。</w:t>
            </w:r>
          </w:p>
        </w:tc>
      </w:tr>
      <w:tr w14:paraId="2D2FC029">
        <w:tblPrEx>
          <w:tblCellMar>
            <w:top w:w="0" w:type="dxa"/>
            <w:left w:w="10" w:type="dxa"/>
            <w:bottom w:w="0" w:type="dxa"/>
            <w:right w:w="10" w:type="dxa"/>
          </w:tblCellMar>
        </w:tblPrEx>
        <w:trPr>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EFFF0">
            <w:pPr>
              <w:spacing w:after="200" w:line="594" w:lineRule="exact"/>
              <w:jc w:val="left"/>
              <w:rPr>
                <w:rFonts w:eastAsia="仿宋_GB2312" w:cs="仿宋_GB2312"/>
                <w:sz w:val="32"/>
                <w:szCs w:val="32"/>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B1202">
            <w:pPr>
              <w:spacing w:after="200" w:line="594" w:lineRule="exact"/>
              <w:jc w:val="left"/>
              <w:rPr>
                <w:rFonts w:eastAsia="仿宋_GB2312" w:cs="仿宋_GB2312"/>
                <w:sz w:val="32"/>
                <w:szCs w:val="32"/>
              </w:rPr>
            </w:pP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0605A">
            <w:pPr>
              <w:spacing w:line="594" w:lineRule="exact"/>
              <w:jc w:val="center"/>
              <w:rPr>
                <w:rFonts w:eastAsia="仿宋_GB2312" w:cs="仿宋_GB2312"/>
                <w:sz w:val="32"/>
                <w:szCs w:val="32"/>
              </w:rPr>
            </w:pPr>
            <w:r>
              <w:rPr>
                <w:rFonts w:eastAsia="仿宋_GB2312" w:cs="仿宋_GB2312"/>
                <w:sz w:val="32"/>
                <w:szCs w:val="32"/>
              </w:rPr>
              <w:t>产品污染</w:t>
            </w:r>
          </w:p>
          <w:p w14:paraId="3D1FCDF8">
            <w:pPr>
              <w:spacing w:line="594" w:lineRule="exact"/>
              <w:jc w:val="center"/>
              <w:rPr>
                <w:rFonts w:eastAsia="仿宋_GB2312" w:cs="仿宋_GB2312"/>
                <w:sz w:val="32"/>
                <w:szCs w:val="32"/>
              </w:rPr>
            </w:pPr>
            <w:r>
              <w:rPr>
                <w:rFonts w:eastAsia="仿宋_GB2312" w:cs="仿宋_GB2312"/>
                <w:sz w:val="32"/>
                <w:szCs w:val="32"/>
              </w:rPr>
              <w:t>风险和</w:t>
            </w:r>
          </w:p>
          <w:p w14:paraId="4CF5DEDC">
            <w:pPr>
              <w:spacing w:line="594" w:lineRule="exact"/>
              <w:jc w:val="center"/>
              <w:rPr>
                <w:rFonts w:eastAsia="仿宋_GB2312" w:cs="仿宋_GB2312"/>
                <w:sz w:val="32"/>
                <w:szCs w:val="32"/>
              </w:rPr>
            </w:pPr>
            <w:r>
              <w:rPr>
                <w:rFonts w:eastAsia="仿宋_GB2312" w:cs="仿宋_GB2312"/>
                <w:sz w:val="32"/>
                <w:szCs w:val="32"/>
              </w:rPr>
              <w:t>隔离</w:t>
            </w:r>
          </w:p>
        </w:tc>
        <w:tc>
          <w:tcPr>
            <w:tcW w:w="53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3EB85C">
            <w:pPr>
              <w:spacing w:line="594" w:lineRule="exact"/>
              <w:ind w:firstLine="628" w:firstLineChars="200"/>
              <w:rPr>
                <w:rFonts w:eastAsia="仿宋_GB2312" w:cs="仿宋_GB2312"/>
                <w:sz w:val="32"/>
                <w:szCs w:val="32"/>
              </w:rPr>
            </w:pPr>
            <w:r>
              <w:rPr>
                <w:rFonts w:eastAsia="仿宋_GB2312" w:cs="仿宋_GB2312"/>
                <w:sz w:val="32"/>
                <w:szCs w:val="32"/>
              </w:rPr>
              <w:t>应建立、实施和保持产品污染预防控制规程，确保印刷成品不与印刷半成品、返工产品及其他材料混合或混杂。</w:t>
            </w:r>
          </w:p>
        </w:tc>
      </w:tr>
      <w:tr w14:paraId="423741E3">
        <w:tblPrEx>
          <w:tblCellMar>
            <w:top w:w="0" w:type="dxa"/>
            <w:left w:w="10" w:type="dxa"/>
            <w:bottom w:w="0" w:type="dxa"/>
            <w:right w:w="10" w:type="dxa"/>
          </w:tblCellMar>
        </w:tblPrEx>
        <w:trPr>
          <w:trHeight w:val="1"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FBC2DF">
            <w:pPr>
              <w:spacing w:line="594" w:lineRule="exact"/>
              <w:jc w:val="center"/>
              <w:rPr>
                <w:rFonts w:eastAsia="仿宋_GB2312" w:cs="仿宋_GB2312"/>
                <w:sz w:val="32"/>
                <w:szCs w:val="32"/>
              </w:rPr>
            </w:pPr>
            <w:r>
              <w:rPr>
                <w:rFonts w:eastAsia="仿宋_GB2312" w:cs="仿宋_GB2312"/>
                <w:sz w:val="32"/>
                <w:szCs w:val="32"/>
              </w:rPr>
              <w:t>2</w:t>
            </w:r>
          </w:p>
        </w:tc>
        <w:tc>
          <w:tcPr>
            <w:tcW w:w="1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8B44F">
            <w:pPr>
              <w:spacing w:line="594" w:lineRule="exact"/>
              <w:jc w:val="center"/>
              <w:rPr>
                <w:rFonts w:eastAsia="仿宋_GB2312" w:cs="仿宋_GB2312"/>
                <w:sz w:val="32"/>
                <w:szCs w:val="32"/>
              </w:rPr>
            </w:pPr>
            <w:r>
              <w:rPr>
                <w:rFonts w:eastAsia="仿宋_GB2312" w:cs="仿宋_GB2312"/>
                <w:sz w:val="32"/>
                <w:szCs w:val="32"/>
              </w:rPr>
              <w:t>D1</w:t>
            </w: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2BEDE7">
            <w:pPr>
              <w:spacing w:line="594" w:lineRule="exact"/>
              <w:jc w:val="center"/>
              <w:rPr>
                <w:rFonts w:eastAsia="仿宋_GB2312" w:cs="仿宋_GB2312"/>
                <w:sz w:val="32"/>
                <w:szCs w:val="32"/>
              </w:rPr>
            </w:pPr>
            <w:r>
              <w:rPr>
                <w:rFonts w:eastAsia="仿宋_GB2312" w:cs="仿宋_GB2312"/>
                <w:sz w:val="32"/>
                <w:szCs w:val="32"/>
              </w:rPr>
              <w:t>产品污染</w:t>
            </w:r>
          </w:p>
          <w:p w14:paraId="3C21515D">
            <w:pPr>
              <w:spacing w:line="594" w:lineRule="exact"/>
              <w:jc w:val="center"/>
              <w:rPr>
                <w:rFonts w:eastAsia="仿宋_GB2312" w:cs="仿宋_GB2312"/>
                <w:sz w:val="32"/>
                <w:szCs w:val="32"/>
              </w:rPr>
            </w:pPr>
            <w:r>
              <w:rPr>
                <w:rFonts w:eastAsia="仿宋_GB2312" w:cs="仿宋_GB2312"/>
                <w:sz w:val="32"/>
                <w:szCs w:val="32"/>
              </w:rPr>
              <w:t>风险和</w:t>
            </w:r>
          </w:p>
          <w:p w14:paraId="6B18312E">
            <w:pPr>
              <w:spacing w:line="594" w:lineRule="exact"/>
              <w:jc w:val="center"/>
              <w:rPr>
                <w:rFonts w:eastAsia="仿宋_GB2312" w:cs="仿宋_GB2312"/>
                <w:sz w:val="32"/>
                <w:szCs w:val="32"/>
              </w:rPr>
            </w:pPr>
            <w:r>
              <w:rPr>
                <w:rFonts w:eastAsia="仿宋_GB2312" w:cs="仿宋_GB2312"/>
                <w:sz w:val="32"/>
                <w:szCs w:val="32"/>
              </w:rPr>
              <w:t>隔离</w:t>
            </w:r>
          </w:p>
        </w:tc>
        <w:tc>
          <w:tcPr>
            <w:tcW w:w="53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B1ECE">
            <w:pPr>
              <w:spacing w:line="594" w:lineRule="exact"/>
              <w:ind w:firstLine="628" w:firstLineChars="200"/>
              <w:rPr>
                <w:rFonts w:eastAsia="仿宋_GB2312" w:cs="仿宋_GB2312"/>
                <w:sz w:val="32"/>
                <w:szCs w:val="32"/>
              </w:rPr>
            </w:pPr>
            <w:r>
              <w:rPr>
                <w:rFonts w:eastAsia="仿宋_GB2312" w:cs="仿宋_GB2312"/>
                <w:sz w:val="32"/>
                <w:szCs w:val="32"/>
              </w:rPr>
              <w:t>应根据相关法律法规，建立、实施和保持饲料生产用药控制规程，防止饲料添加剂和兽药的非预期使用。</w:t>
            </w:r>
          </w:p>
          <w:p w14:paraId="4D38C49C">
            <w:pPr>
              <w:spacing w:line="594" w:lineRule="exact"/>
              <w:ind w:firstLine="628" w:firstLineChars="200"/>
              <w:rPr>
                <w:rFonts w:eastAsia="仿宋_GB2312" w:cs="仿宋_GB2312"/>
                <w:sz w:val="32"/>
                <w:szCs w:val="32"/>
              </w:rPr>
            </w:pPr>
            <w:r>
              <w:rPr>
                <w:rFonts w:eastAsia="仿宋_GB2312" w:cs="仿宋_GB2312"/>
                <w:sz w:val="32"/>
                <w:szCs w:val="32"/>
              </w:rPr>
              <w:t>饲料和饲料添加剂的成分和使用应确保对饲养动物、人体健康和环境无害，且所有成分的种类、名称应与产品标签上注明的成分的种类、名称一致。</w:t>
            </w:r>
          </w:p>
        </w:tc>
      </w:tr>
      <w:tr w14:paraId="4D3DC40B">
        <w:tblPrEx>
          <w:tblCellMar>
            <w:top w:w="0" w:type="dxa"/>
            <w:left w:w="10" w:type="dxa"/>
            <w:bottom w:w="0" w:type="dxa"/>
            <w:right w:w="10" w:type="dxa"/>
          </w:tblCellMar>
        </w:tblPrEx>
        <w:trPr>
          <w:jc w:val="center"/>
        </w:trPr>
        <w:tc>
          <w:tcPr>
            <w:tcW w:w="7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414F9">
            <w:pPr>
              <w:spacing w:line="594" w:lineRule="exact"/>
              <w:jc w:val="center"/>
              <w:rPr>
                <w:rFonts w:eastAsia="仿宋_GB2312" w:cs="仿宋_GB2312"/>
                <w:sz w:val="32"/>
                <w:szCs w:val="32"/>
              </w:rPr>
            </w:pPr>
            <w:r>
              <w:rPr>
                <w:rFonts w:eastAsia="仿宋_GB2312" w:cs="仿宋_GB2312"/>
                <w:sz w:val="32"/>
                <w:szCs w:val="32"/>
              </w:rPr>
              <w:t>3</w:t>
            </w:r>
          </w:p>
        </w:tc>
        <w:tc>
          <w:tcPr>
            <w:tcW w:w="1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9A606A">
            <w:pPr>
              <w:spacing w:line="594" w:lineRule="exact"/>
              <w:jc w:val="center"/>
              <w:rPr>
                <w:rFonts w:eastAsia="仿宋_GB2312" w:cs="仿宋_GB2312"/>
                <w:sz w:val="32"/>
                <w:szCs w:val="32"/>
              </w:rPr>
            </w:pPr>
            <w:r>
              <w:rPr>
                <w:rFonts w:eastAsia="仿宋_GB2312" w:cs="仿宋_GB2312"/>
                <w:sz w:val="32"/>
                <w:szCs w:val="32"/>
              </w:rPr>
              <w:t>E</w:t>
            </w:r>
          </w:p>
          <w:p w14:paraId="6B46CF33">
            <w:pPr>
              <w:spacing w:line="594" w:lineRule="exact"/>
              <w:jc w:val="center"/>
              <w:rPr>
                <w:rFonts w:eastAsia="仿宋_GB2312" w:cs="仿宋_GB2312"/>
                <w:sz w:val="32"/>
                <w:szCs w:val="32"/>
              </w:rPr>
            </w:pPr>
            <w:r>
              <w:rPr>
                <w:rFonts w:eastAsia="仿宋_GB2312" w:cs="仿宋_GB2312"/>
                <w:sz w:val="32"/>
                <w:szCs w:val="32"/>
              </w:rPr>
              <w:t>/F1/F2</w:t>
            </w:r>
          </w:p>
        </w:tc>
        <w:tc>
          <w:tcPr>
            <w:tcW w:w="1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3E5066">
            <w:pPr>
              <w:spacing w:line="594" w:lineRule="exact"/>
              <w:jc w:val="center"/>
              <w:rPr>
                <w:rFonts w:eastAsia="仿宋_GB2312" w:cs="仿宋_GB2312"/>
                <w:sz w:val="32"/>
                <w:szCs w:val="32"/>
              </w:rPr>
            </w:pPr>
            <w:r>
              <w:rPr>
                <w:rFonts w:eastAsia="仿宋_GB2312" w:cs="仿宋_GB2312"/>
                <w:sz w:val="32"/>
                <w:szCs w:val="32"/>
              </w:rPr>
              <w:t>返工及</w:t>
            </w:r>
          </w:p>
          <w:p w14:paraId="24AA23E1">
            <w:pPr>
              <w:spacing w:line="594" w:lineRule="exact"/>
              <w:jc w:val="center"/>
              <w:rPr>
                <w:rFonts w:eastAsia="仿宋_GB2312" w:cs="仿宋_GB2312"/>
                <w:sz w:val="32"/>
                <w:szCs w:val="32"/>
              </w:rPr>
            </w:pPr>
            <w:r>
              <w:rPr>
                <w:rFonts w:eastAsia="仿宋_GB2312" w:cs="仿宋_GB2312"/>
                <w:sz w:val="32"/>
                <w:szCs w:val="32"/>
              </w:rPr>
              <w:t>不合格品处置</w:t>
            </w:r>
          </w:p>
        </w:tc>
        <w:tc>
          <w:tcPr>
            <w:tcW w:w="53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CA240D">
            <w:pPr>
              <w:spacing w:line="594" w:lineRule="exact"/>
              <w:ind w:firstLine="628" w:firstLineChars="200"/>
              <w:rPr>
                <w:rFonts w:eastAsia="仿宋_GB2312" w:cs="仿宋_GB2312"/>
                <w:sz w:val="32"/>
                <w:szCs w:val="32"/>
              </w:rPr>
            </w:pPr>
            <w:r>
              <w:rPr>
                <w:rFonts w:eastAsia="仿宋_GB2312" w:cs="仿宋_GB2312"/>
                <w:sz w:val="32"/>
                <w:szCs w:val="32"/>
              </w:rPr>
              <w:t>不合格控制程序应包括返工及不合格品处置要求，以确保对返工或再加工产品的处理、转售、捐赠、再补给或再利用的产品的完整性和合规性。</w:t>
            </w:r>
          </w:p>
        </w:tc>
      </w:tr>
    </w:tbl>
    <w:p w14:paraId="6F77D031">
      <w:pPr>
        <w:pStyle w:val="19"/>
        <w:adjustRightInd w:val="0"/>
        <w:snapToGrid w:val="0"/>
        <w:spacing w:line="594" w:lineRule="exact"/>
        <w:rPr>
          <w:rFonts w:ascii="Times New Roman" w:hAnsi="Times New Roman" w:eastAsia="仿宋_GB2312" w:cs="仿宋_GB2312"/>
          <w:sz w:val="32"/>
          <w:szCs w:val="32"/>
        </w:rPr>
        <w:sectPr>
          <w:footerReference r:id="rId3" w:type="default"/>
          <w:footerReference r:id="rId4" w:type="even"/>
          <w:pgSz w:w="11906" w:h="16838"/>
          <w:pgMar w:top="1984" w:right="1474" w:bottom="1644" w:left="1474" w:header="851" w:footer="1191" w:gutter="0"/>
          <w:pgNumType w:fmt="decimal"/>
          <w:cols w:space="0" w:num="1"/>
          <w:rtlGutter w:val="0"/>
          <w:docGrid w:type="linesAndChars" w:linePitch="287" w:charSpace="-1313"/>
        </w:sectPr>
      </w:pPr>
    </w:p>
    <w:p w14:paraId="3641E0DC">
      <w:pPr>
        <w:adjustRightInd w:val="0"/>
        <w:snapToGrid w:val="0"/>
        <w:spacing w:line="594" w:lineRule="exact"/>
        <w:jc w:val="left"/>
        <w:rPr>
          <w:rFonts w:eastAsia="黑体" w:cs="黑体"/>
          <w:bCs/>
          <w:sz w:val="32"/>
          <w:szCs w:val="32"/>
        </w:rPr>
      </w:pPr>
      <w:r>
        <w:rPr>
          <w:rFonts w:hint="eastAsia" w:eastAsia="黑体" w:cs="黑体"/>
          <w:bCs/>
          <w:sz w:val="32"/>
          <w:szCs w:val="32"/>
        </w:rPr>
        <w:t>附件3</w:t>
      </w:r>
    </w:p>
    <w:p w14:paraId="4940F135">
      <w:pPr>
        <w:adjustRightInd w:val="0"/>
        <w:snapToGrid w:val="0"/>
        <w:spacing w:line="594" w:lineRule="exact"/>
        <w:jc w:val="center"/>
        <w:rPr>
          <w:rFonts w:hint="default" w:ascii="黑体" w:hAnsi="黑体" w:eastAsia="黑体" w:cs="黑体"/>
          <w:b/>
          <w:sz w:val="44"/>
          <w:szCs w:val="44"/>
          <w:lang w:val="en-US" w:eastAsia="zh-CN"/>
        </w:rPr>
      </w:pPr>
      <w:r>
        <w:rPr>
          <w:rFonts w:hint="eastAsia" w:eastAsia="方正小标宋简体" w:cs="黑体"/>
          <w:bCs/>
          <w:sz w:val="44"/>
          <w:szCs w:val="44"/>
        </w:rPr>
        <w:t xml:space="preserve"> </w:t>
      </w:r>
      <w:bookmarkStart w:id="5" w:name="_Hlk65756223"/>
      <w:r>
        <w:rPr>
          <w:rFonts w:hint="eastAsia" w:eastAsia="方正小标宋简体" w:cs="黑体"/>
          <w:bCs/>
          <w:sz w:val="44"/>
          <w:szCs w:val="44"/>
        </w:rPr>
        <w:t>HACCP</w:t>
      </w:r>
      <w:r>
        <w:rPr>
          <w:rFonts w:hint="eastAsia" w:eastAsia="方正小标宋简体" w:cs="方正小标宋简体"/>
          <w:bCs/>
          <w:sz w:val="44"/>
          <w:szCs w:val="44"/>
        </w:rPr>
        <w:t>认证最少审核时间</w:t>
      </w:r>
      <w:bookmarkEnd w:id="5"/>
    </w:p>
    <w:p w14:paraId="66DC929C">
      <w:pPr>
        <w:pStyle w:val="19"/>
        <w:autoSpaceDE w:val="0"/>
        <w:autoSpaceDN w:val="0"/>
        <w:adjustRightInd w:val="0"/>
        <w:snapToGrid w:val="0"/>
        <w:spacing w:line="594" w:lineRule="exact"/>
        <w:jc w:val="left"/>
        <w:rPr>
          <w:rFonts w:ascii="Times New Roman" w:hAnsi="Times New Roman" w:eastAsia="方正仿宋简体" w:cs="Arial"/>
          <w:sz w:val="44"/>
          <w:szCs w:val="44"/>
        </w:rPr>
      </w:pPr>
    </w:p>
    <w:p w14:paraId="2582E56D">
      <w:pPr>
        <w:pStyle w:val="19"/>
        <w:adjustRightInd w:val="0"/>
        <w:snapToGrid w:val="0"/>
        <w:spacing w:line="594" w:lineRule="exact"/>
        <w:ind w:firstLine="628" w:firstLineChars="200"/>
        <w:rPr>
          <w:rFonts w:ascii="Times New Roman" w:hAnsi="Times New Roman" w:eastAsia="黑体" w:cs="黑体"/>
          <w:sz w:val="32"/>
          <w:szCs w:val="32"/>
        </w:rPr>
      </w:pPr>
      <w:r>
        <w:rPr>
          <w:rFonts w:hint="eastAsia" w:ascii="Times New Roman" w:hAnsi="Times New Roman" w:eastAsia="黑体" w:cs="黑体"/>
          <w:sz w:val="32"/>
          <w:szCs w:val="32"/>
        </w:rPr>
        <w:t>1.初次认证最少审核时间</w:t>
      </w:r>
    </w:p>
    <w:p w14:paraId="2D245192">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1.1 单一场所的最少审核时间为T</w:t>
      </w:r>
      <w:r>
        <w:rPr>
          <w:rFonts w:ascii="Times New Roman" w:hAnsi="Times New Roman" w:eastAsia="仿宋_GB2312" w:cs="仿宋_GB2312"/>
          <w:sz w:val="32"/>
          <w:szCs w:val="32"/>
          <w:vertAlign w:val="subscript"/>
        </w:rPr>
        <w:t>S</w:t>
      </w:r>
      <w:r>
        <w:rPr>
          <w:rFonts w:hint="eastAsia" w:ascii="Times New Roman" w:hAnsi="Times New Roman" w:eastAsia="仿宋_GB2312" w:cs="仿宋_GB2312"/>
          <w:sz w:val="32"/>
          <w:szCs w:val="32"/>
        </w:rPr>
        <w:t>+T</w:t>
      </w:r>
      <w:r>
        <w:rPr>
          <w:rFonts w:ascii="Times New Roman" w:hAnsi="Times New Roman" w:eastAsia="仿宋_GB2312" w:cs="仿宋_GB2312"/>
          <w:sz w:val="32"/>
          <w:szCs w:val="32"/>
          <w:vertAlign w:val="subscript"/>
        </w:rPr>
        <w:t>A</w:t>
      </w:r>
      <w:r>
        <w:rPr>
          <w:rFonts w:hint="eastAsia" w:ascii="Times New Roman" w:hAnsi="Times New Roman" w:eastAsia="仿宋_GB2312" w:cs="仿宋_GB2312"/>
          <w:sz w:val="32"/>
          <w:szCs w:val="32"/>
        </w:rPr>
        <w:t>：</w:t>
      </w:r>
    </w:p>
    <w:p w14:paraId="4BD77720">
      <w:pPr>
        <w:pStyle w:val="19"/>
        <w:numPr>
          <w:ilvl w:val="0"/>
          <w:numId w:val="1"/>
        </w:numPr>
        <w:adjustRightInd w:val="0"/>
        <w:snapToGrid w:val="0"/>
        <w:spacing w:line="594" w:lineRule="exact"/>
        <w:ind w:firstLine="616" w:firstLineChars="196"/>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基础审核时间Ts =（T</w:t>
      </w:r>
      <w:r>
        <w:rPr>
          <w:rFonts w:ascii="Times New Roman" w:hAnsi="Times New Roman" w:eastAsia="仿宋_GB2312" w:cs="仿宋_GB2312"/>
          <w:sz w:val="32"/>
          <w:szCs w:val="32"/>
          <w:vertAlign w:val="subscript"/>
        </w:rPr>
        <w:t>D</w:t>
      </w:r>
      <w:r>
        <w:rPr>
          <w:rFonts w:hint="eastAsia" w:ascii="Times New Roman" w:hAnsi="Times New Roman" w:eastAsia="仿宋_GB2312" w:cs="仿宋_GB2312"/>
          <w:sz w:val="32"/>
          <w:szCs w:val="32"/>
        </w:rPr>
        <w:t>+T</w:t>
      </w:r>
      <w:r>
        <w:rPr>
          <w:rFonts w:ascii="Times New Roman" w:hAnsi="Times New Roman" w:eastAsia="仿宋_GB2312" w:cs="仿宋_GB2312"/>
          <w:sz w:val="32"/>
          <w:szCs w:val="32"/>
          <w:vertAlign w:val="subscript"/>
        </w:rPr>
        <w:t>H</w:t>
      </w:r>
      <w:r>
        <w:rPr>
          <w:rFonts w:hint="eastAsia" w:ascii="Times New Roman" w:hAnsi="Times New Roman" w:eastAsia="仿宋_GB2312" w:cs="仿宋_GB2312"/>
          <w:sz w:val="32"/>
          <w:szCs w:val="32"/>
        </w:rPr>
        <w:t>+T</w:t>
      </w:r>
      <w:r>
        <w:rPr>
          <w:rFonts w:ascii="Times New Roman" w:hAnsi="Times New Roman" w:eastAsia="仿宋_GB2312" w:cs="仿宋_GB2312"/>
          <w:sz w:val="32"/>
          <w:szCs w:val="32"/>
          <w:vertAlign w:val="subscript"/>
        </w:rPr>
        <w:t>MS</w:t>
      </w:r>
      <w:r>
        <w:rPr>
          <w:rFonts w:hint="eastAsia" w:ascii="Times New Roman" w:hAnsi="Times New Roman" w:eastAsia="仿宋_GB2312" w:cs="仿宋_GB2312"/>
          <w:sz w:val="32"/>
          <w:szCs w:val="32"/>
        </w:rPr>
        <w:t>+T</w:t>
      </w:r>
      <w:r>
        <w:rPr>
          <w:rFonts w:ascii="Times New Roman" w:hAnsi="Times New Roman" w:eastAsia="仿宋_GB2312" w:cs="仿宋_GB2312"/>
          <w:sz w:val="32"/>
          <w:szCs w:val="32"/>
          <w:vertAlign w:val="subscript"/>
        </w:rPr>
        <w:t>FTE</w:t>
      </w:r>
      <w:r>
        <w:rPr>
          <w:rFonts w:hint="eastAsia" w:ascii="Times New Roman" w:hAnsi="Times New Roman" w:eastAsia="仿宋_GB2312" w:cs="仿宋_GB2312"/>
          <w:sz w:val="32"/>
          <w:szCs w:val="32"/>
        </w:rPr>
        <w:t>），式中各项的时间根据表</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.1计算。</w:t>
      </w:r>
    </w:p>
    <w:p w14:paraId="5B637319">
      <w:pPr>
        <w:pStyle w:val="19"/>
        <w:snapToGrid w:val="0"/>
        <w:spacing w:line="594"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表</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.1 基础审核时间</w:t>
      </w:r>
    </w:p>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12"/>
        <w:gridCol w:w="1572"/>
        <w:gridCol w:w="1584"/>
        <w:gridCol w:w="2412"/>
        <w:gridCol w:w="1663"/>
      </w:tblGrid>
      <w:tr w14:paraId="7284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trPr>
        <w:tc>
          <w:tcPr>
            <w:tcW w:w="797" w:type="dxa"/>
            <w:vAlign w:val="center"/>
          </w:tcPr>
          <w:p w14:paraId="77195F61">
            <w:pPr>
              <w:pStyle w:val="19"/>
              <w:adjustRightInd w:val="0"/>
              <w:snapToGrid w:val="0"/>
              <w:spacing w:line="594" w:lineRule="exact"/>
              <w:jc w:val="center"/>
              <w:rPr>
                <w:rFonts w:ascii="Times New Roman" w:hAnsi="Times New Roman" w:eastAsia="黑体" w:cs="黑体"/>
                <w:bCs/>
                <w:sz w:val="28"/>
                <w:szCs w:val="28"/>
              </w:rPr>
            </w:pPr>
            <w:r>
              <w:rPr>
                <w:rFonts w:hint="eastAsia" w:ascii="Times New Roman" w:hAnsi="Times New Roman" w:eastAsia="黑体" w:cs="黑体"/>
                <w:bCs/>
                <w:sz w:val="28"/>
                <w:szCs w:val="28"/>
              </w:rPr>
              <w:t>行业</w:t>
            </w:r>
          </w:p>
          <w:p w14:paraId="04570048">
            <w:pPr>
              <w:pStyle w:val="19"/>
              <w:adjustRightInd w:val="0"/>
              <w:snapToGrid w:val="0"/>
              <w:spacing w:line="594" w:lineRule="exact"/>
              <w:jc w:val="center"/>
              <w:rPr>
                <w:rFonts w:ascii="Times New Roman" w:hAnsi="Times New Roman" w:eastAsia="黑体" w:cs="黑体"/>
                <w:bCs/>
                <w:sz w:val="28"/>
                <w:szCs w:val="28"/>
              </w:rPr>
            </w:pPr>
            <w:r>
              <w:rPr>
                <w:rFonts w:hint="eastAsia" w:ascii="Times New Roman" w:hAnsi="Times New Roman" w:eastAsia="黑体" w:cs="黑体"/>
                <w:bCs/>
                <w:sz w:val="28"/>
                <w:szCs w:val="28"/>
              </w:rPr>
              <w:t>类别</w:t>
            </w:r>
          </w:p>
        </w:tc>
        <w:tc>
          <w:tcPr>
            <w:tcW w:w="1012" w:type="dxa"/>
          </w:tcPr>
          <w:p w14:paraId="156D9445">
            <w:pPr>
              <w:pStyle w:val="19"/>
              <w:adjustRightInd w:val="0"/>
              <w:snapToGrid w:val="0"/>
              <w:spacing w:line="594" w:lineRule="exact"/>
              <w:jc w:val="center"/>
              <w:rPr>
                <w:rFonts w:ascii="Times New Roman" w:hAnsi="Times New Roman" w:eastAsia="黑体" w:cs="黑体"/>
                <w:bCs/>
                <w:sz w:val="28"/>
                <w:szCs w:val="28"/>
              </w:rPr>
            </w:pPr>
            <w:r>
              <w:rPr>
                <w:rFonts w:hint="eastAsia" w:ascii="Times New Roman" w:hAnsi="Times New Roman" w:eastAsia="黑体" w:cs="黑体"/>
                <w:bCs/>
                <w:sz w:val="28"/>
                <w:szCs w:val="28"/>
              </w:rPr>
              <w:t>现场审核基本时间(T</w:t>
            </w:r>
            <w:r>
              <w:rPr>
                <w:rFonts w:ascii="Times New Roman" w:hAnsi="Times New Roman" w:eastAsia="黑体" w:cs="黑体"/>
                <w:bCs/>
                <w:sz w:val="28"/>
                <w:szCs w:val="28"/>
                <w:vertAlign w:val="subscript"/>
              </w:rPr>
              <w:t>D</w:t>
            </w:r>
            <w:r>
              <w:rPr>
                <w:rFonts w:hint="eastAsia" w:ascii="Times New Roman" w:hAnsi="Times New Roman" w:eastAsia="黑体" w:cs="黑体"/>
                <w:bCs/>
                <w:sz w:val="28"/>
                <w:szCs w:val="28"/>
              </w:rPr>
              <w:t>)</w:t>
            </w:r>
          </w:p>
        </w:tc>
        <w:tc>
          <w:tcPr>
            <w:tcW w:w="1572" w:type="dxa"/>
          </w:tcPr>
          <w:p w14:paraId="755C4035">
            <w:pPr>
              <w:pStyle w:val="19"/>
              <w:adjustRightInd w:val="0"/>
              <w:snapToGrid w:val="0"/>
              <w:spacing w:line="594" w:lineRule="exact"/>
              <w:jc w:val="center"/>
              <w:rPr>
                <w:rFonts w:ascii="Times New Roman" w:hAnsi="Times New Roman" w:eastAsia="黑体" w:cs="黑体"/>
                <w:bCs/>
                <w:sz w:val="28"/>
                <w:szCs w:val="28"/>
              </w:rPr>
            </w:pPr>
            <w:r>
              <w:rPr>
                <w:rFonts w:hint="eastAsia" w:ascii="Times New Roman" w:hAnsi="Times New Roman" w:eastAsia="黑体" w:cs="黑体"/>
                <w:bCs/>
                <w:sz w:val="28"/>
                <w:szCs w:val="28"/>
              </w:rPr>
              <w:t>每个HACCP项目需要增加的审核天数(T</w:t>
            </w:r>
            <w:r>
              <w:rPr>
                <w:rFonts w:ascii="Times New Roman" w:hAnsi="Times New Roman" w:eastAsia="黑体" w:cs="黑体"/>
                <w:bCs/>
                <w:sz w:val="28"/>
                <w:szCs w:val="28"/>
                <w:vertAlign w:val="subscript"/>
              </w:rPr>
              <w:t>H</w:t>
            </w:r>
            <w:r>
              <w:rPr>
                <w:rFonts w:hint="eastAsia" w:ascii="Times New Roman" w:hAnsi="Times New Roman" w:eastAsia="黑体" w:cs="黑体"/>
                <w:bCs/>
                <w:sz w:val="28"/>
                <w:szCs w:val="28"/>
              </w:rPr>
              <w:t>)</w:t>
            </w:r>
          </w:p>
        </w:tc>
        <w:tc>
          <w:tcPr>
            <w:tcW w:w="1584" w:type="dxa"/>
          </w:tcPr>
          <w:p w14:paraId="4E8FC11A">
            <w:pPr>
              <w:pStyle w:val="19"/>
              <w:adjustRightInd w:val="0"/>
              <w:snapToGrid w:val="0"/>
              <w:spacing w:line="594" w:lineRule="exact"/>
              <w:jc w:val="center"/>
              <w:rPr>
                <w:rFonts w:ascii="Times New Roman" w:hAnsi="Times New Roman" w:eastAsia="黑体" w:cs="黑体"/>
                <w:bCs/>
                <w:sz w:val="28"/>
                <w:szCs w:val="28"/>
              </w:rPr>
            </w:pPr>
            <w:r>
              <w:rPr>
                <w:rFonts w:hint="eastAsia" w:ascii="Times New Roman" w:hAnsi="Times New Roman" w:eastAsia="黑体" w:cs="黑体"/>
                <w:bCs/>
                <w:sz w:val="28"/>
                <w:szCs w:val="28"/>
              </w:rPr>
              <w:t>无相关的管理体系认证需要增加的审核天数(T</w:t>
            </w:r>
            <w:r>
              <w:rPr>
                <w:rFonts w:ascii="Times New Roman" w:hAnsi="Times New Roman" w:eastAsia="黑体" w:cs="黑体"/>
                <w:bCs/>
                <w:sz w:val="28"/>
                <w:szCs w:val="28"/>
                <w:vertAlign w:val="subscript"/>
              </w:rPr>
              <w:t>MS</w:t>
            </w:r>
            <w:r>
              <w:rPr>
                <w:rFonts w:hint="eastAsia" w:ascii="Times New Roman" w:hAnsi="Times New Roman" w:eastAsia="黑体" w:cs="黑体"/>
                <w:bCs/>
                <w:sz w:val="28"/>
                <w:szCs w:val="28"/>
              </w:rPr>
              <w:t>)</w:t>
            </w:r>
          </w:p>
        </w:tc>
        <w:tc>
          <w:tcPr>
            <w:tcW w:w="2412" w:type="dxa"/>
          </w:tcPr>
          <w:p w14:paraId="05563F20">
            <w:pPr>
              <w:pStyle w:val="19"/>
              <w:adjustRightInd w:val="0"/>
              <w:snapToGrid w:val="0"/>
              <w:spacing w:line="594" w:lineRule="exact"/>
              <w:jc w:val="center"/>
              <w:rPr>
                <w:rFonts w:ascii="Times New Roman" w:hAnsi="Times New Roman" w:eastAsia="黑体" w:cs="黑体"/>
                <w:bCs/>
                <w:sz w:val="28"/>
                <w:szCs w:val="28"/>
              </w:rPr>
            </w:pPr>
            <w:r>
              <w:rPr>
                <w:rFonts w:hint="eastAsia" w:ascii="Times New Roman" w:hAnsi="Times New Roman" w:eastAsia="黑体" w:cs="黑体"/>
                <w:bCs/>
                <w:sz w:val="28"/>
                <w:szCs w:val="28"/>
              </w:rPr>
              <w:t>基于员工数量需要增加的审核天数</w:t>
            </w:r>
          </w:p>
          <w:p w14:paraId="65019986">
            <w:pPr>
              <w:pStyle w:val="19"/>
              <w:adjustRightInd w:val="0"/>
              <w:snapToGrid w:val="0"/>
              <w:spacing w:line="594" w:lineRule="exact"/>
              <w:jc w:val="center"/>
              <w:rPr>
                <w:rFonts w:ascii="Times New Roman" w:hAnsi="Times New Roman" w:eastAsia="黑体" w:cs="黑体"/>
                <w:bCs/>
                <w:sz w:val="28"/>
                <w:szCs w:val="28"/>
              </w:rPr>
            </w:pPr>
            <w:r>
              <w:rPr>
                <w:rFonts w:hint="eastAsia" w:ascii="Times New Roman" w:hAnsi="Times New Roman" w:eastAsia="黑体" w:cs="黑体"/>
                <w:bCs/>
                <w:sz w:val="28"/>
                <w:szCs w:val="28"/>
              </w:rPr>
              <w:t>(T</w:t>
            </w:r>
            <w:r>
              <w:rPr>
                <w:rFonts w:ascii="Times New Roman" w:hAnsi="Times New Roman" w:eastAsia="黑体" w:cs="黑体"/>
                <w:bCs/>
                <w:sz w:val="28"/>
                <w:szCs w:val="28"/>
                <w:vertAlign w:val="subscript"/>
              </w:rPr>
              <w:t>FTE</w:t>
            </w:r>
            <w:r>
              <w:rPr>
                <w:rFonts w:hint="eastAsia" w:ascii="Times New Roman" w:hAnsi="Times New Roman" w:eastAsia="黑体" w:cs="黑体"/>
                <w:bCs/>
                <w:sz w:val="28"/>
                <w:szCs w:val="28"/>
              </w:rPr>
              <w:t>)</w:t>
            </w:r>
          </w:p>
        </w:tc>
        <w:tc>
          <w:tcPr>
            <w:tcW w:w="1663" w:type="dxa"/>
            <w:vAlign w:val="center"/>
          </w:tcPr>
          <w:p w14:paraId="5F5C920E">
            <w:pPr>
              <w:pStyle w:val="19"/>
              <w:adjustRightInd w:val="0"/>
              <w:snapToGrid w:val="0"/>
              <w:spacing w:line="594" w:lineRule="exact"/>
              <w:rPr>
                <w:rFonts w:ascii="Times New Roman" w:hAnsi="Times New Roman" w:eastAsia="黑体" w:cs="黑体"/>
                <w:bCs/>
                <w:sz w:val="28"/>
                <w:szCs w:val="28"/>
              </w:rPr>
            </w:pPr>
            <w:r>
              <w:rPr>
                <w:rFonts w:hint="eastAsia" w:ascii="Times New Roman" w:hAnsi="Times New Roman" w:eastAsia="黑体" w:cs="黑体"/>
                <w:bCs/>
                <w:sz w:val="28"/>
                <w:szCs w:val="28"/>
              </w:rPr>
              <w:t>每增加一个审核场所需要增加的最少审核时间</w:t>
            </w:r>
          </w:p>
        </w:tc>
      </w:tr>
      <w:tr w14:paraId="0017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97" w:type="dxa"/>
          </w:tcPr>
          <w:p w14:paraId="7577302A">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C</w:t>
            </w:r>
          </w:p>
        </w:tc>
        <w:tc>
          <w:tcPr>
            <w:tcW w:w="1012" w:type="dxa"/>
          </w:tcPr>
          <w:p w14:paraId="2EEDDFFB">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p>
        </w:tc>
        <w:tc>
          <w:tcPr>
            <w:tcW w:w="1572" w:type="dxa"/>
          </w:tcPr>
          <w:p w14:paraId="47AB2085">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0.50</w:t>
            </w:r>
          </w:p>
        </w:tc>
        <w:tc>
          <w:tcPr>
            <w:tcW w:w="1584" w:type="dxa"/>
            <w:vMerge w:val="restart"/>
            <w:vAlign w:val="center"/>
          </w:tcPr>
          <w:p w14:paraId="404B6532">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0.25</w:t>
            </w:r>
          </w:p>
        </w:tc>
        <w:tc>
          <w:tcPr>
            <w:tcW w:w="2412" w:type="dxa"/>
            <w:vMerge w:val="restart"/>
            <w:vAlign w:val="center"/>
          </w:tcPr>
          <w:p w14:paraId="4A3E13F1">
            <w:pPr>
              <w:autoSpaceDE w:val="0"/>
              <w:autoSpaceDN w:val="0"/>
              <w:adjustRightInd w:val="0"/>
              <w:spacing w:line="594" w:lineRule="exact"/>
              <w:ind w:right="240"/>
              <w:jc w:val="center"/>
              <w:rPr>
                <w:rFonts w:eastAsia="仿宋_GB2312" w:cs="仿宋_GB2312"/>
                <w:sz w:val="28"/>
                <w:szCs w:val="28"/>
              </w:rPr>
            </w:pPr>
            <w:r>
              <w:rPr>
                <w:rFonts w:hint="eastAsia" w:eastAsia="仿宋_GB2312" w:cs="仿宋_GB2312"/>
                <w:sz w:val="28"/>
                <w:szCs w:val="28"/>
              </w:rPr>
              <w:t>1～19=0</w:t>
            </w:r>
          </w:p>
          <w:p w14:paraId="46C6FD76">
            <w:pPr>
              <w:autoSpaceDE w:val="0"/>
              <w:autoSpaceDN w:val="0"/>
              <w:adjustRightInd w:val="0"/>
              <w:spacing w:line="594" w:lineRule="exact"/>
              <w:jc w:val="center"/>
              <w:rPr>
                <w:rFonts w:eastAsia="仿宋_GB2312" w:cs="仿宋_GB2312"/>
                <w:sz w:val="28"/>
                <w:szCs w:val="28"/>
              </w:rPr>
            </w:pPr>
            <w:r>
              <w:rPr>
                <w:rFonts w:hint="eastAsia" w:eastAsia="仿宋_GB2312" w:cs="仿宋_GB2312"/>
                <w:sz w:val="28"/>
                <w:szCs w:val="28"/>
              </w:rPr>
              <w:t>20～49=0.5</w:t>
            </w:r>
          </w:p>
          <w:p w14:paraId="3705F820">
            <w:pPr>
              <w:autoSpaceDE w:val="0"/>
              <w:autoSpaceDN w:val="0"/>
              <w:adjustRightInd w:val="0"/>
              <w:spacing w:line="594" w:lineRule="exact"/>
              <w:jc w:val="center"/>
              <w:rPr>
                <w:rFonts w:eastAsia="仿宋_GB2312" w:cs="仿宋_GB2312"/>
                <w:sz w:val="28"/>
                <w:szCs w:val="28"/>
              </w:rPr>
            </w:pPr>
            <w:r>
              <w:rPr>
                <w:rFonts w:hint="eastAsia" w:eastAsia="仿宋_GB2312" w:cs="仿宋_GB2312"/>
                <w:sz w:val="28"/>
                <w:szCs w:val="28"/>
              </w:rPr>
              <w:t>50～79=1.0</w:t>
            </w:r>
          </w:p>
          <w:p w14:paraId="5BD10552">
            <w:pPr>
              <w:autoSpaceDE w:val="0"/>
              <w:autoSpaceDN w:val="0"/>
              <w:adjustRightInd w:val="0"/>
              <w:spacing w:line="594" w:lineRule="exact"/>
              <w:jc w:val="center"/>
              <w:rPr>
                <w:rFonts w:eastAsia="仿宋_GB2312" w:cs="仿宋_GB2312"/>
                <w:sz w:val="28"/>
                <w:szCs w:val="28"/>
              </w:rPr>
            </w:pPr>
            <w:r>
              <w:rPr>
                <w:rFonts w:hint="eastAsia" w:eastAsia="仿宋_GB2312" w:cs="仿宋_GB2312"/>
                <w:sz w:val="28"/>
                <w:szCs w:val="28"/>
              </w:rPr>
              <w:t>80～199=1.5</w:t>
            </w:r>
          </w:p>
          <w:p w14:paraId="665CAFF0">
            <w:pPr>
              <w:autoSpaceDE w:val="0"/>
              <w:autoSpaceDN w:val="0"/>
              <w:adjustRightInd w:val="0"/>
              <w:spacing w:line="594" w:lineRule="exact"/>
              <w:ind w:firstLine="274" w:firstLineChars="100"/>
              <w:rPr>
                <w:rFonts w:eastAsia="仿宋_GB2312" w:cs="仿宋_GB2312"/>
                <w:sz w:val="28"/>
                <w:szCs w:val="28"/>
              </w:rPr>
            </w:pPr>
            <w:r>
              <w:rPr>
                <w:rFonts w:hint="eastAsia" w:eastAsia="仿宋_GB2312" w:cs="仿宋_GB2312"/>
                <w:sz w:val="28"/>
                <w:szCs w:val="28"/>
              </w:rPr>
              <w:t>200～499=2.0</w:t>
            </w:r>
          </w:p>
          <w:p w14:paraId="186CF15D">
            <w:pPr>
              <w:autoSpaceDE w:val="0"/>
              <w:autoSpaceDN w:val="0"/>
              <w:adjustRightInd w:val="0"/>
              <w:spacing w:line="594" w:lineRule="exact"/>
              <w:ind w:firstLine="274" w:firstLineChars="100"/>
              <w:rPr>
                <w:rFonts w:eastAsia="仿宋_GB2312" w:cs="仿宋_GB2312"/>
                <w:sz w:val="28"/>
                <w:szCs w:val="28"/>
              </w:rPr>
            </w:pPr>
            <w:r>
              <w:rPr>
                <w:rFonts w:hint="eastAsia" w:eastAsia="仿宋_GB2312" w:cs="仿宋_GB2312"/>
                <w:sz w:val="28"/>
                <w:szCs w:val="28"/>
              </w:rPr>
              <w:t>500～899=2.5</w:t>
            </w:r>
          </w:p>
          <w:p w14:paraId="3B50E9F4">
            <w:pPr>
              <w:autoSpaceDE w:val="0"/>
              <w:autoSpaceDN w:val="0"/>
              <w:adjustRightInd w:val="0"/>
              <w:spacing w:line="594" w:lineRule="exact"/>
              <w:ind w:firstLine="274" w:firstLineChars="100"/>
              <w:rPr>
                <w:rFonts w:eastAsia="仿宋_GB2312" w:cs="仿宋_GB2312"/>
                <w:sz w:val="28"/>
                <w:szCs w:val="28"/>
              </w:rPr>
            </w:pPr>
            <w:r>
              <w:rPr>
                <w:rFonts w:hint="eastAsia" w:eastAsia="仿宋_GB2312" w:cs="仿宋_GB2312"/>
                <w:sz w:val="28"/>
                <w:szCs w:val="28"/>
              </w:rPr>
              <w:t>900～1299=3.0</w:t>
            </w:r>
          </w:p>
          <w:p w14:paraId="18D0A137">
            <w:pPr>
              <w:autoSpaceDE w:val="0"/>
              <w:autoSpaceDN w:val="0"/>
              <w:adjustRightInd w:val="0"/>
              <w:spacing w:line="594" w:lineRule="exact"/>
              <w:jc w:val="right"/>
              <w:rPr>
                <w:rFonts w:eastAsia="仿宋_GB2312" w:cs="仿宋_GB2312"/>
                <w:sz w:val="28"/>
                <w:szCs w:val="28"/>
              </w:rPr>
            </w:pPr>
            <w:r>
              <w:rPr>
                <w:rFonts w:hint="eastAsia" w:eastAsia="仿宋_GB2312" w:cs="仿宋_GB2312"/>
                <w:sz w:val="28"/>
                <w:szCs w:val="28"/>
              </w:rPr>
              <w:t>1300～1699=3.5</w:t>
            </w:r>
          </w:p>
          <w:p w14:paraId="0D47B17A">
            <w:pPr>
              <w:autoSpaceDE w:val="0"/>
              <w:autoSpaceDN w:val="0"/>
              <w:adjustRightInd w:val="0"/>
              <w:spacing w:line="594" w:lineRule="exact"/>
              <w:jc w:val="right"/>
              <w:rPr>
                <w:rFonts w:eastAsia="仿宋_GB2312" w:cs="仿宋_GB2312"/>
                <w:sz w:val="28"/>
                <w:szCs w:val="28"/>
              </w:rPr>
            </w:pPr>
            <w:r>
              <w:rPr>
                <w:rFonts w:hint="eastAsia" w:eastAsia="仿宋_GB2312" w:cs="仿宋_GB2312"/>
                <w:sz w:val="28"/>
                <w:szCs w:val="28"/>
              </w:rPr>
              <w:t>1700～2999=4.0</w:t>
            </w:r>
          </w:p>
          <w:p w14:paraId="1F439DDA">
            <w:pPr>
              <w:autoSpaceDE w:val="0"/>
              <w:autoSpaceDN w:val="0"/>
              <w:adjustRightInd w:val="0"/>
              <w:spacing w:line="594" w:lineRule="exact"/>
              <w:jc w:val="right"/>
              <w:rPr>
                <w:rFonts w:eastAsia="仿宋_GB2312" w:cs="仿宋_GB2312"/>
                <w:sz w:val="28"/>
                <w:szCs w:val="28"/>
              </w:rPr>
            </w:pPr>
            <w:r>
              <w:rPr>
                <w:rFonts w:hint="eastAsia" w:eastAsia="仿宋_GB2312" w:cs="仿宋_GB2312"/>
                <w:sz w:val="28"/>
                <w:szCs w:val="28"/>
              </w:rPr>
              <w:t>3000～5000=4.5</w:t>
            </w:r>
          </w:p>
          <w:p w14:paraId="38730142">
            <w:pPr>
              <w:pStyle w:val="19"/>
              <w:adjustRightInd w:val="0"/>
              <w:snapToGrid w:val="0"/>
              <w:spacing w:line="594" w:lineRule="exact"/>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&gt;5000=5.0</w:t>
            </w:r>
          </w:p>
        </w:tc>
        <w:tc>
          <w:tcPr>
            <w:tcW w:w="1663" w:type="dxa"/>
            <w:vMerge w:val="restart"/>
            <w:vAlign w:val="center"/>
          </w:tcPr>
          <w:p w14:paraId="2EC88A9E">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最少现场审核时间的50%</w:t>
            </w:r>
          </w:p>
        </w:tc>
      </w:tr>
      <w:tr w14:paraId="6A7B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7" w:type="dxa"/>
          </w:tcPr>
          <w:p w14:paraId="7C887D38">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D</w:t>
            </w:r>
          </w:p>
        </w:tc>
        <w:tc>
          <w:tcPr>
            <w:tcW w:w="1012" w:type="dxa"/>
          </w:tcPr>
          <w:p w14:paraId="0B3CB488">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p>
        </w:tc>
        <w:tc>
          <w:tcPr>
            <w:tcW w:w="1572" w:type="dxa"/>
          </w:tcPr>
          <w:p w14:paraId="26E946DA">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0.50</w:t>
            </w:r>
          </w:p>
        </w:tc>
        <w:tc>
          <w:tcPr>
            <w:tcW w:w="1584" w:type="dxa"/>
            <w:vMerge w:val="continue"/>
          </w:tcPr>
          <w:p w14:paraId="3CACE5BD">
            <w:pPr>
              <w:pStyle w:val="19"/>
              <w:adjustRightInd w:val="0"/>
              <w:snapToGrid w:val="0"/>
              <w:spacing w:line="594" w:lineRule="exact"/>
              <w:jc w:val="center"/>
              <w:rPr>
                <w:rFonts w:ascii="Times New Roman" w:hAnsi="Times New Roman" w:eastAsia="仿宋_GB2312" w:cs="仿宋_GB2312"/>
                <w:sz w:val="28"/>
                <w:szCs w:val="28"/>
              </w:rPr>
            </w:pPr>
          </w:p>
        </w:tc>
        <w:tc>
          <w:tcPr>
            <w:tcW w:w="2412" w:type="dxa"/>
            <w:vMerge w:val="continue"/>
          </w:tcPr>
          <w:p w14:paraId="2BC10FFF">
            <w:pPr>
              <w:pStyle w:val="19"/>
              <w:adjustRightInd w:val="0"/>
              <w:snapToGrid w:val="0"/>
              <w:spacing w:line="594" w:lineRule="exact"/>
              <w:jc w:val="center"/>
              <w:rPr>
                <w:rFonts w:ascii="Times New Roman" w:hAnsi="Times New Roman" w:eastAsia="仿宋_GB2312" w:cs="仿宋_GB2312"/>
                <w:sz w:val="28"/>
                <w:szCs w:val="28"/>
              </w:rPr>
            </w:pPr>
          </w:p>
        </w:tc>
        <w:tc>
          <w:tcPr>
            <w:tcW w:w="1663" w:type="dxa"/>
            <w:vMerge w:val="continue"/>
          </w:tcPr>
          <w:p w14:paraId="37983C24">
            <w:pPr>
              <w:pStyle w:val="19"/>
              <w:adjustRightInd w:val="0"/>
              <w:snapToGrid w:val="0"/>
              <w:spacing w:line="594" w:lineRule="exact"/>
              <w:jc w:val="center"/>
              <w:rPr>
                <w:rFonts w:ascii="Times New Roman" w:hAnsi="Times New Roman" w:eastAsia="仿宋_GB2312" w:cs="仿宋_GB2312"/>
                <w:sz w:val="28"/>
                <w:szCs w:val="28"/>
              </w:rPr>
            </w:pPr>
          </w:p>
        </w:tc>
      </w:tr>
      <w:tr w14:paraId="6CFE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CD08FC2">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E</w:t>
            </w:r>
          </w:p>
        </w:tc>
        <w:tc>
          <w:tcPr>
            <w:tcW w:w="1012" w:type="dxa"/>
          </w:tcPr>
          <w:p w14:paraId="0E213381">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1572" w:type="dxa"/>
          </w:tcPr>
          <w:p w14:paraId="723310EA">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0.50</w:t>
            </w:r>
          </w:p>
        </w:tc>
        <w:tc>
          <w:tcPr>
            <w:tcW w:w="1584" w:type="dxa"/>
            <w:vMerge w:val="continue"/>
          </w:tcPr>
          <w:p w14:paraId="47E1165F">
            <w:pPr>
              <w:pStyle w:val="19"/>
              <w:adjustRightInd w:val="0"/>
              <w:snapToGrid w:val="0"/>
              <w:spacing w:line="594" w:lineRule="exact"/>
              <w:jc w:val="center"/>
              <w:rPr>
                <w:rFonts w:ascii="Times New Roman" w:hAnsi="Times New Roman" w:eastAsia="仿宋_GB2312" w:cs="仿宋_GB2312"/>
                <w:sz w:val="28"/>
                <w:szCs w:val="28"/>
              </w:rPr>
            </w:pPr>
          </w:p>
        </w:tc>
        <w:tc>
          <w:tcPr>
            <w:tcW w:w="2412" w:type="dxa"/>
            <w:vMerge w:val="continue"/>
          </w:tcPr>
          <w:p w14:paraId="2C479202">
            <w:pPr>
              <w:pStyle w:val="19"/>
              <w:adjustRightInd w:val="0"/>
              <w:snapToGrid w:val="0"/>
              <w:spacing w:line="594" w:lineRule="exact"/>
              <w:jc w:val="center"/>
              <w:rPr>
                <w:rFonts w:ascii="Times New Roman" w:hAnsi="Times New Roman" w:eastAsia="仿宋_GB2312" w:cs="仿宋_GB2312"/>
                <w:sz w:val="28"/>
                <w:szCs w:val="28"/>
              </w:rPr>
            </w:pPr>
          </w:p>
        </w:tc>
        <w:tc>
          <w:tcPr>
            <w:tcW w:w="1663" w:type="dxa"/>
            <w:vMerge w:val="continue"/>
          </w:tcPr>
          <w:p w14:paraId="74535947">
            <w:pPr>
              <w:pStyle w:val="19"/>
              <w:adjustRightInd w:val="0"/>
              <w:snapToGrid w:val="0"/>
              <w:spacing w:line="594" w:lineRule="exact"/>
              <w:jc w:val="center"/>
              <w:rPr>
                <w:rFonts w:ascii="Times New Roman" w:hAnsi="Times New Roman" w:eastAsia="仿宋_GB2312" w:cs="仿宋_GB2312"/>
                <w:sz w:val="28"/>
                <w:szCs w:val="28"/>
              </w:rPr>
            </w:pPr>
          </w:p>
        </w:tc>
      </w:tr>
      <w:tr w14:paraId="6169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AE0005B">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F</w:t>
            </w:r>
          </w:p>
        </w:tc>
        <w:tc>
          <w:tcPr>
            <w:tcW w:w="1012" w:type="dxa"/>
          </w:tcPr>
          <w:p w14:paraId="5379E092">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1572" w:type="dxa"/>
          </w:tcPr>
          <w:p w14:paraId="1D7E47D2">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0.50</w:t>
            </w:r>
          </w:p>
        </w:tc>
        <w:tc>
          <w:tcPr>
            <w:tcW w:w="1584" w:type="dxa"/>
            <w:vMerge w:val="continue"/>
          </w:tcPr>
          <w:p w14:paraId="1C4783B4">
            <w:pPr>
              <w:pStyle w:val="19"/>
              <w:adjustRightInd w:val="0"/>
              <w:snapToGrid w:val="0"/>
              <w:spacing w:line="594" w:lineRule="exact"/>
              <w:jc w:val="center"/>
              <w:rPr>
                <w:rFonts w:ascii="Times New Roman" w:hAnsi="Times New Roman" w:eastAsia="仿宋_GB2312" w:cs="仿宋_GB2312"/>
                <w:sz w:val="28"/>
                <w:szCs w:val="28"/>
              </w:rPr>
            </w:pPr>
          </w:p>
        </w:tc>
        <w:tc>
          <w:tcPr>
            <w:tcW w:w="2412" w:type="dxa"/>
            <w:vMerge w:val="continue"/>
          </w:tcPr>
          <w:p w14:paraId="4D69A0BD">
            <w:pPr>
              <w:pStyle w:val="19"/>
              <w:adjustRightInd w:val="0"/>
              <w:snapToGrid w:val="0"/>
              <w:spacing w:line="594" w:lineRule="exact"/>
              <w:jc w:val="center"/>
              <w:rPr>
                <w:rFonts w:ascii="Times New Roman" w:hAnsi="Times New Roman" w:eastAsia="仿宋_GB2312" w:cs="仿宋_GB2312"/>
                <w:sz w:val="28"/>
                <w:szCs w:val="28"/>
              </w:rPr>
            </w:pPr>
          </w:p>
        </w:tc>
        <w:tc>
          <w:tcPr>
            <w:tcW w:w="1663" w:type="dxa"/>
            <w:vMerge w:val="continue"/>
          </w:tcPr>
          <w:p w14:paraId="6E4E08AC">
            <w:pPr>
              <w:pStyle w:val="19"/>
              <w:adjustRightInd w:val="0"/>
              <w:snapToGrid w:val="0"/>
              <w:spacing w:line="594" w:lineRule="exact"/>
              <w:jc w:val="center"/>
              <w:rPr>
                <w:rFonts w:ascii="Times New Roman" w:hAnsi="Times New Roman" w:eastAsia="仿宋_GB2312" w:cs="仿宋_GB2312"/>
                <w:sz w:val="28"/>
                <w:szCs w:val="28"/>
              </w:rPr>
            </w:pPr>
          </w:p>
        </w:tc>
      </w:tr>
      <w:tr w14:paraId="5F9D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44ED0F79">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G</w:t>
            </w:r>
          </w:p>
        </w:tc>
        <w:tc>
          <w:tcPr>
            <w:tcW w:w="1012" w:type="dxa"/>
          </w:tcPr>
          <w:p w14:paraId="2C6339B1">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1572" w:type="dxa"/>
          </w:tcPr>
          <w:p w14:paraId="3EB2E7F9">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0.25</w:t>
            </w:r>
          </w:p>
        </w:tc>
        <w:tc>
          <w:tcPr>
            <w:tcW w:w="1584" w:type="dxa"/>
            <w:vMerge w:val="continue"/>
          </w:tcPr>
          <w:p w14:paraId="5504603F">
            <w:pPr>
              <w:pStyle w:val="19"/>
              <w:adjustRightInd w:val="0"/>
              <w:snapToGrid w:val="0"/>
              <w:spacing w:line="594" w:lineRule="exact"/>
              <w:jc w:val="center"/>
              <w:rPr>
                <w:rFonts w:ascii="Times New Roman" w:hAnsi="Times New Roman" w:eastAsia="仿宋_GB2312" w:cs="仿宋_GB2312"/>
                <w:sz w:val="28"/>
                <w:szCs w:val="28"/>
              </w:rPr>
            </w:pPr>
          </w:p>
        </w:tc>
        <w:tc>
          <w:tcPr>
            <w:tcW w:w="2412" w:type="dxa"/>
            <w:vMerge w:val="continue"/>
          </w:tcPr>
          <w:p w14:paraId="79019B72">
            <w:pPr>
              <w:pStyle w:val="19"/>
              <w:adjustRightInd w:val="0"/>
              <w:snapToGrid w:val="0"/>
              <w:spacing w:line="594" w:lineRule="exact"/>
              <w:jc w:val="center"/>
              <w:rPr>
                <w:rFonts w:ascii="Times New Roman" w:hAnsi="Times New Roman" w:eastAsia="仿宋_GB2312" w:cs="仿宋_GB2312"/>
                <w:sz w:val="28"/>
                <w:szCs w:val="28"/>
              </w:rPr>
            </w:pPr>
          </w:p>
        </w:tc>
        <w:tc>
          <w:tcPr>
            <w:tcW w:w="1663" w:type="dxa"/>
            <w:vMerge w:val="continue"/>
          </w:tcPr>
          <w:p w14:paraId="044C4B6C">
            <w:pPr>
              <w:pStyle w:val="19"/>
              <w:adjustRightInd w:val="0"/>
              <w:snapToGrid w:val="0"/>
              <w:spacing w:line="594" w:lineRule="exact"/>
              <w:jc w:val="center"/>
              <w:rPr>
                <w:rFonts w:ascii="Times New Roman" w:hAnsi="Times New Roman" w:eastAsia="仿宋_GB2312" w:cs="仿宋_GB2312"/>
                <w:sz w:val="28"/>
                <w:szCs w:val="28"/>
              </w:rPr>
            </w:pPr>
          </w:p>
        </w:tc>
      </w:tr>
      <w:tr w14:paraId="75A9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23023B46">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I</w:t>
            </w:r>
          </w:p>
        </w:tc>
        <w:tc>
          <w:tcPr>
            <w:tcW w:w="1012" w:type="dxa"/>
          </w:tcPr>
          <w:p w14:paraId="4EAE9954">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1572" w:type="dxa"/>
          </w:tcPr>
          <w:p w14:paraId="6CF5FED7">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0.25</w:t>
            </w:r>
          </w:p>
        </w:tc>
        <w:tc>
          <w:tcPr>
            <w:tcW w:w="1584" w:type="dxa"/>
            <w:vMerge w:val="continue"/>
          </w:tcPr>
          <w:p w14:paraId="13AB3698">
            <w:pPr>
              <w:pStyle w:val="19"/>
              <w:adjustRightInd w:val="0"/>
              <w:snapToGrid w:val="0"/>
              <w:spacing w:line="594" w:lineRule="exact"/>
              <w:jc w:val="center"/>
              <w:rPr>
                <w:rFonts w:ascii="Times New Roman" w:hAnsi="Times New Roman" w:eastAsia="仿宋_GB2312" w:cs="仿宋_GB2312"/>
                <w:sz w:val="28"/>
                <w:szCs w:val="28"/>
              </w:rPr>
            </w:pPr>
          </w:p>
        </w:tc>
        <w:tc>
          <w:tcPr>
            <w:tcW w:w="2412" w:type="dxa"/>
            <w:vMerge w:val="continue"/>
          </w:tcPr>
          <w:p w14:paraId="67E7B972">
            <w:pPr>
              <w:pStyle w:val="19"/>
              <w:adjustRightInd w:val="0"/>
              <w:snapToGrid w:val="0"/>
              <w:spacing w:line="594" w:lineRule="exact"/>
              <w:jc w:val="center"/>
              <w:rPr>
                <w:rFonts w:ascii="Times New Roman" w:hAnsi="Times New Roman" w:eastAsia="仿宋_GB2312" w:cs="仿宋_GB2312"/>
                <w:sz w:val="28"/>
                <w:szCs w:val="28"/>
              </w:rPr>
            </w:pPr>
          </w:p>
        </w:tc>
        <w:tc>
          <w:tcPr>
            <w:tcW w:w="1663" w:type="dxa"/>
            <w:vMerge w:val="continue"/>
          </w:tcPr>
          <w:p w14:paraId="4B947032">
            <w:pPr>
              <w:pStyle w:val="19"/>
              <w:adjustRightInd w:val="0"/>
              <w:snapToGrid w:val="0"/>
              <w:spacing w:line="594" w:lineRule="exact"/>
              <w:jc w:val="center"/>
              <w:rPr>
                <w:rFonts w:ascii="Times New Roman" w:hAnsi="Times New Roman" w:eastAsia="仿宋_GB2312" w:cs="仿宋_GB2312"/>
                <w:sz w:val="28"/>
                <w:szCs w:val="28"/>
              </w:rPr>
            </w:pPr>
          </w:p>
        </w:tc>
      </w:tr>
      <w:tr w14:paraId="17B4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B604D49">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K</w:t>
            </w:r>
          </w:p>
        </w:tc>
        <w:tc>
          <w:tcPr>
            <w:tcW w:w="1012" w:type="dxa"/>
          </w:tcPr>
          <w:p w14:paraId="7D9E031E">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p>
        </w:tc>
        <w:tc>
          <w:tcPr>
            <w:tcW w:w="1572" w:type="dxa"/>
          </w:tcPr>
          <w:p w14:paraId="44408AC6">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0.50</w:t>
            </w:r>
          </w:p>
        </w:tc>
        <w:tc>
          <w:tcPr>
            <w:tcW w:w="1584" w:type="dxa"/>
            <w:vMerge w:val="continue"/>
          </w:tcPr>
          <w:p w14:paraId="1BAF2E34">
            <w:pPr>
              <w:pStyle w:val="19"/>
              <w:adjustRightInd w:val="0"/>
              <w:snapToGrid w:val="0"/>
              <w:spacing w:line="594" w:lineRule="exact"/>
              <w:jc w:val="center"/>
              <w:rPr>
                <w:rFonts w:ascii="Times New Roman" w:hAnsi="Times New Roman" w:eastAsia="仿宋_GB2312" w:cs="仿宋_GB2312"/>
                <w:sz w:val="28"/>
                <w:szCs w:val="28"/>
              </w:rPr>
            </w:pPr>
          </w:p>
        </w:tc>
        <w:tc>
          <w:tcPr>
            <w:tcW w:w="2412" w:type="dxa"/>
            <w:vMerge w:val="continue"/>
          </w:tcPr>
          <w:p w14:paraId="492F717A">
            <w:pPr>
              <w:pStyle w:val="19"/>
              <w:adjustRightInd w:val="0"/>
              <w:snapToGrid w:val="0"/>
              <w:spacing w:line="594" w:lineRule="exact"/>
              <w:jc w:val="center"/>
              <w:rPr>
                <w:rFonts w:ascii="Times New Roman" w:hAnsi="Times New Roman" w:eastAsia="仿宋_GB2312" w:cs="仿宋_GB2312"/>
                <w:sz w:val="28"/>
                <w:szCs w:val="28"/>
              </w:rPr>
            </w:pPr>
          </w:p>
        </w:tc>
        <w:tc>
          <w:tcPr>
            <w:tcW w:w="1663" w:type="dxa"/>
            <w:vMerge w:val="continue"/>
          </w:tcPr>
          <w:p w14:paraId="6470C7F7">
            <w:pPr>
              <w:pStyle w:val="19"/>
              <w:adjustRightInd w:val="0"/>
              <w:snapToGrid w:val="0"/>
              <w:spacing w:line="594" w:lineRule="exact"/>
              <w:jc w:val="center"/>
              <w:rPr>
                <w:rFonts w:ascii="Times New Roman" w:hAnsi="Times New Roman" w:eastAsia="仿宋_GB2312" w:cs="仿宋_GB2312"/>
                <w:sz w:val="28"/>
                <w:szCs w:val="28"/>
              </w:rPr>
            </w:pPr>
          </w:p>
        </w:tc>
      </w:tr>
    </w:tbl>
    <w:p w14:paraId="61548A27">
      <w:pPr>
        <w:pStyle w:val="19"/>
        <w:numPr>
          <w:ilvl w:val="0"/>
          <w:numId w:val="1"/>
        </w:numPr>
        <w:adjustRightInd w:val="0"/>
        <w:snapToGrid w:val="0"/>
        <w:spacing w:line="594" w:lineRule="exact"/>
        <w:ind w:firstLine="616" w:firstLineChars="196"/>
        <w:rPr>
          <w:rFonts w:ascii="Times New Roman" w:hAnsi="Times New Roman" w:eastAsia="仿宋_GB2312" w:cs="仿宋_GB2312"/>
          <w:sz w:val="32"/>
          <w:szCs w:val="32"/>
        </w:rPr>
      </w:pPr>
      <w:r>
        <w:rPr>
          <w:rFonts w:hint="eastAsia" w:ascii="Times New Roman" w:hAnsi="Times New Roman" w:eastAsia="仿宋_GB2312" w:cs="仿宋_GB2312"/>
          <w:sz w:val="32"/>
          <w:szCs w:val="32"/>
        </w:rPr>
        <w:t>T</w:t>
      </w:r>
      <w:r>
        <w:rPr>
          <w:rFonts w:ascii="Times New Roman" w:hAnsi="Times New Roman" w:eastAsia="仿宋_GB2312" w:cs="仿宋_GB2312"/>
          <w:sz w:val="32"/>
          <w:szCs w:val="32"/>
          <w:vertAlign w:val="subscript"/>
        </w:rPr>
        <w:t>A</w:t>
      </w:r>
      <w:r>
        <w:rPr>
          <w:rFonts w:hint="eastAsia" w:ascii="Times New Roman" w:hAnsi="Times New Roman" w:eastAsia="仿宋_GB2312" w:cs="仿宋_GB2312"/>
          <w:sz w:val="32"/>
          <w:szCs w:val="32"/>
        </w:rPr>
        <w:t>为HACCP认证的附加审核时间。根据企业人员规模增加表</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.2中对应的审核时间。</w:t>
      </w:r>
    </w:p>
    <w:p w14:paraId="77F0198F">
      <w:pPr>
        <w:pStyle w:val="19"/>
        <w:adjustRightInd w:val="0"/>
        <w:snapToGrid w:val="0"/>
        <w:spacing w:line="594"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表</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.2 HACCP附加审核时间</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9"/>
        <w:gridCol w:w="3443"/>
      </w:tblGrid>
      <w:tr w14:paraId="0092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79" w:type="dxa"/>
            <w:vAlign w:val="center"/>
          </w:tcPr>
          <w:p w14:paraId="325DADEE">
            <w:pPr>
              <w:pStyle w:val="19"/>
              <w:adjustRightInd w:val="0"/>
              <w:snapToGrid w:val="0"/>
              <w:spacing w:line="594" w:lineRule="exact"/>
              <w:jc w:val="center"/>
              <w:rPr>
                <w:rFonts w:ascii="Times New Roman" w:hAnsi="Times New Roman" w:eastAsia="黑体" w:cs="黑体"/>
                <w:sz w:val="28"/>
                <w:szCs w:val="28"/>
              </w:rPr>
            </w:pPr>
            <w:r>
              <w:rPr>
                <w:rFonts w:hint="eastAsia" w:ascii="Times New Roman" w:hAnsi="Times New Roman" w:eastAsia="黑体" w:cs="黑体"/>
                <w:sz w:val="28"/>
                <w:szCs w:val="28"/>
              </w:rPr>
              <w:t>企业规模</w:t>
            </w:r>
          </w:p>
        </w:tc>
        <w:tc>
          <w:tcPr>
            <w:tcW w:w="3443" w:type="dxa"/>
            <w:vAlign w:val="center"/>
          </w:tcPr>
          <w:p w14:paraId="24E61772">
            <w:pPr>
              <w:pStyle w:val="19"/>
              <w:adjustRightInd w:val="0"/>
              <w:snapToGrid w:val="0"/>
              <w:spacing w:line="594" w:lineRule="exact"/>
              <w:jc w:val="center"/>
              <w:rPr>
                <w:rFonts w:ascii="Times New Roman" w:hAnsi="Times New Roman" w:eastAsia="黑体" w:cs="黑体"/>
                <w:sz w:val="28"/>
                <w:szCs w:val="28"/>
              </w:rPr>
            </w:pPr>
            <w:r>
              <w:rPr>
                <w:rFonts w:hint="eastAsia" w:ascii="Times New Roman" w:hAnsi="Times New Roman" w:eastAsia="黑体" w:cs="黑体"/>
                <w:sz w:val="28"/>
                <w:szCs w:val="28"/>
              </w:rPr>
              <w:t>HACCP附加审核时间</w:t>
            </w:r>
          </w:p>
          <w:p w14:paraId="0603E844">
            <w:pPr>
              <w:pStyle w:val="19"/>
              <w:adjustRightInd w:val="0"/>
              <w:snapToGrid w:val="0"/>
              <w:spacing w:line="594" w:lineRule="exact"/>
              <w:jc w:val="center"/>
              <w:rPr>
                <w:rFonts w:ascii="Times New Roman" w:hAnsi="Times New Roman" w:eastAsia="黑体" w:cs="黑体"/>
                <w:sz w:val="28"/>
                <w:szCs w:val="28"/>
              </w:rPr>
            </w:pPr>
            <w:r>
              <w:rPr>
                <w:rFonts w:hint="eastAsia" w:ascii="Times New Roman" w:hAnsi="Times New Roman" w:eastAsia="黑体" w:cs="黑体"/>
                <w:sz w:val="28"/>
                <w:szCs w:val="28"/>
              </w:rPr>
              <w:t>T</w:t>
            </w:r>
            <w:r>
              <w:rPr>
                <w:rFonts w:ascii="Times New Roman" w:hAnsi="Times New Roman" w:eastAsia="黑体" w:cs="黑体"/>
                <w:sz w:val="28"/>
                <w:szCs w:val="28"/>
                <w:vertAlign w:val="subscript"/>
              </w:rPr>
              <w:t>A</w:t>
            </w:r>
          </w:p>
        </w:tc>
      </w:tr>
      <w:tr w14:paraId="44F8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79" w:type="dxa"/>
            <w:vAlign w:val="center"/>
          </w:tcPr>
          <w:p w14:paraId="6F02E142">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员工人数＜200，且HACCP项目≤3</w:t>
            </w:r>
          </w:p>
        </w:tc>
        <w:tc>
          <w:tcPr>
            <w:tcW w:w="3443" w:type="dxa"/>
            <w:vAlign w:val="center"/>
          </w:tcPr>
          <w:p w14:paraId="11062BA3">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r>
      <w:tr w14:paraId="193C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79" w:type="dxa"/>
            <w:vAlign w:val="center"/>
          </w:tcPr>
          <w:p w14:paraId="2A205B8B">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员工人数≥200，或HACCP项目＞3</w:t>
            </w:r>
          </w:p>
        </w:tc>
        <w:tc>
          <w:tcPr>
            <w:tcW w:w="3443" w:type="dxa"/>
            <w:vAlign w:val="center"/>
          </w:tcPr>
          <w:p w14:paraId="59F10C49">
            <w:pPr>
              <w:pStyle w:val="19"/>
              <w:adjustRightInd w:val="0"/>
              <w:snapToGrid w:val="0"/>
              <w:spacing w:line="594"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p>
        </w:tc>
      </w:tr>
    </w:tbl>
    <w:p w14:paraId="6F9A5A36">
      <w:pPr>
        <w:pStyle w:val="19"/>
        <w:numPr>
          <w:ilvl w:val="0"/>
          <w:numId w:val="1"/>
        </w:numPr>
        <w:adjustRightInd w:val="0"/>
        <w:snapToGrid w:val="0"/>
        <w:spacing w:line="594" w:lineRule="exact"/>
        <w:ind w:firstLine="616" w:firstLineChars="196"/>
        <w:rPr>
          <w:rFonts w:ascii="Times New Roman" w:hAnsi="Times New Roman" w:eastAsia="仿宋_GB2312" w:cs="仿宋_GB2312"/>
          <w:sz w:val="32"/>
          <w:szCs w:val="32"/>
        </w:rPr>
      </w:pPr>
      <w:r>
        <w:rPr>
          <w:rFonts w:hint="eastAsia" w:ascii="Times New Roman" w:hAnsi="Times New Roman" w:eastAsia="仿宋_GB2312" w:cs="仿宋_GB2312"/>
          <w:sz w:val="32"/>
          <w:szCs w:val="32"/>
        </w:rPr>
        <w:t>最少审核时间包括初次认证的第一阶段和第二阶段的审核时间，但不包括审核准备和编制审核报告的时间。</w:t>
      </w:r>
    </w:p>
    <w:p w14:paraId="2A151641">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1.2主要场所之外增加场所的基础审核时间根据表</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1计算，对规模小、风险和复杂程度低、体系成熟度高、自动化程度高以及其中心职能的集中化程度高的组织，可考虑减少增加场所的审核时间，但减少时间不能超过该场所基础审核时间的50%。每个场所应分别增加相应的附加审核时间T</w:t>
      </w:r>
      <w:r>
        <w:rPr>
          <w:rFonts w:ascii="Times New Roman" w:hAnsi="Times New Roman" w:eastAsia="仿宋_GB2312" w:cs="仿宋_GB2312"/>
          <w:sz w:val="32"/>
          <w:szCs w:val="32"/>
          <w:vertAlign w:val="subscript"/>
        </w:rPr>
        <w:t>A</w:t>
      </w:r>
      <w:r>
        <w:rPr>
          <w:rFonts w:hint="eastAsia" w:ascii="Times New Roman" w:hAnsi="Times New Roman" w:eastAsia="仿宋_GB2312" w:cs="仿宋_GB2312"/>
          <w:sz w:val="32"/>
          <w:szCs w:val="32"/>
        </w:rPr>
        <w:t>。</w:t>
      </w:r>
    </w:p>
    <w:p w14:paraId="6B42FC0B">
      <w:pPr>
        <w:pStyle w:val="19"/>
        <w:adjustRightInd w:val="0"/>
        <w:snapToGrid w:val="0"/>
        <w:spacing w:line="594" w:lineRule="exact"/>
        <w:ind w:firstLine="628" w:firstLineChars="200"/>
        <w:rPr>
          <w:rFonts w:ascii="Times New Roman" w:hAnsi="Times New Roman" w:eastAsia="黑体" w:cs="黑体"/>
          <w:sz w:val="32"/>
          <w:szCs w:val="32"/>
        </w:rPr>
      </w:pPr>
      <w:r>
        <w:rPr>
          <w:rFonts w:hint="eastAsia" w:ascii="Times New Roman" w:hAnsi="Times New Roman" w:eastAsia="黑体" w:cs="黑体"/>
          <w:sz w:val="32"/>
          <w:szCs w:val="32"/>
        </w:rPr>
        <w:t>2.监督和再认证最少审核时间</w:t>
      </w:r>
    </w:p>
    <w:p w14:paraId="7D9AFB04">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2.1监督审核的最少时间为T</w:t>
      </w:r>
      <w:r>
        <w:rPr>
          <w:rFonts w:ascii="Times New Roman" w:hAnsi="Times New Roman" w:eastAsia="仿宋_GB2312" w:cs="仿宋_GB2312"/>
          <w:sz w:val="32"/>
          <w:szCs w:val="32"/>
          <w:vertAlign w:val="subscript"/>
        </w:rPr>
        <w:t>S</w:t>
      </w:r>
      <w:r>
        <w:rPr>
          <w:rFonts w:hint="eastAsia" w:ascii="Times New Roman" w:hAnsi="Times New Roman" w:eastAsia="仿宋_GB2312" w:cs="仿宋_GB2312"/>
          <w:sz w:val="32"/>
          <w:szCs w:val="32"/>
        </w:rPr>
        <w:t>的三分之一+T</w:t>
      </w:r>
      <w:r>
        <w:rPr>
          <w:rFonts w:ascii="Times New Roman" w:hAnsi="Times New Roman" w:eastAsia="仿宋_GB2312" w:cs="仿宋_GB2312"/>
          <w:sz w:val="32"/>
          <w:szCs w:val="32"/>
          <w:vertAlign w:val="subscript"/>
        </w:rPr>
        <w:t>A</w:t>
      </w:r>
      <w:r>
        <w:rPr>
          <w:rFonts w:hint="eastAsia" w:ascii="Times New Roman" w:hAnsi="Times New Roman" w:eastAsia="仿宋_GB2312" w:cs="仿宋_GB2312"/>
          <w:sz w:val="32"/>
          <w:szCs w:val="32"/>
        </w:rPr>
        <w:t>，且审核时间不应少于2天。</w:t>
      </w:r>
    </w:p>
    <w:p w14:paraId="39531DC8">
      <w:pPr>
        <w:pStyle w:val="19"/>
        <w:adjustRightInd w:val="0"/>
        <w:snapToGrid w:val="0"/>
        <w:spacing w:line="594" w:lineRule="exact"/>
        <w:ind w:firstLine="628" w:firstLineChars="200"/>
        <w:rPr>
          <w:rFonts w:ascii="Times New Roman" w:hAnsi="Times New Roman" w:eastAsia="仿宋_GB2312"/>
          <w:szCs w:val="21"/>
        </w:rPr>
      </w:pPr>
      <w:r>
        <w:rPr>
          <w:rFonts w:hint="eastAsia" w:ascii="Times New Roman" w:hAnsi="Times New Roman" w:eastAsia="仿宋_GB2312" w:cs="仿宋_GB2312"/>
          <w:sz w:val="32"/>
          <w:szCs w:val="32"/>
        </w:rPr>
        <w:t>2.2再认证的最少时间为T</w:t>
      </w:r>
      <w:r>
        <w:rPr>
          <w:rFonts w:ascii="Times New Roman" w:hAnsi="Times New Roman" w:eastAsia="仿宋_GB2312" w:cs="仿宋_GB2312"/>
          <w:sz w:val="32"/>
          <w:szCs w:val="32"/>
          <w:vertAlign w:val="subscript"/>
        </w:rPr>
        <w:t>S</w:t>
      </w:r>
      <w:r>
        <w:rPr>
          <w:rFonts w:hint="eastAsia" w:ascii="Times New Roman" w:hAnsi="Times New Roman" w:eastAsia="仿宋_GB2312" w:cs="仿宋_GB2312"/>
          <w:sz w:val="32"/>
          <w:szCs w:val="32"/>
        </w:rPr>
        <w:t>的三分之二+T</w:t>
      </w:r>
      <w:r>
        <w:rPr>
          <w:rFonts w:ascii="Times New Roman" w:hAnsi="Times New Roman" w:eastAsia="仿宋_GB2312" w:cs="仿宋_GB2312"/>
          <w:sz w:val="32"/>
          <w:szCs w:val="32"/>
          <w:vertAlign w:val="subscript"/>
        </w:rPr>
        <w:t>A</w:t>
      </w:r>
      <w:r>
        <w:rPr>
          <w:rFonts w:hint="eastAsia" w:ascii="Times New Roman" w:hAnsi="Times New Roman" w:eastAsia="仿宋_GB2312" w:cs="仿宋_GB2312"/>
          <w:sz w:val="32"/>
          <w:szCs w:val="32"/>
        </w:rPr>
        <w:t>，且审核时间不应少于2天。</w:t>
      </w:r>
    </w:p>
    <w:p w14:paraId="16F2ADC8">
      <w:pPr>
        <w:pStyle w:val="19"/>
        <w:adjustRightInd w:val="0"/>
        <w:snapToGrid w:val="0"/>
        <w:spacing w:line="594" w:lineRule="exact"/>
        <w:ind w:firstLine="628" w:firstLineChars="200"/>
        <w:rPr>
          <w:rFonts w:ascii="Times New Roman" w:hAnsi="Times New Roman" w:eastAsia="黑体" w:cs="黑体"/>
          <w:sz w:val="32"/>
          <w:szCs w:val="32"/>
        </w:rPr>
      </w:pPr>
      <w:r>
        <w:rPr>
          <w:rFonts w:ascii="Times New Roman" w:hAnsi="Times New Roman" w:eastAsia="黑体" w:cs="黑体"/>
          <w:sz w:val="32"/>
          <w:szCs w:val="32"/>
        </w:rPr>
        <w:t>3.</w:t>
      </w:r>
      <w:r>
        <w:rPr>
          <w:rFonts w:hint="eastAsia" w:ascii="Times New Roman" w:hAnsi="Times New Roman" w:eastAsia="黑体" w:cs="黑体"/>
          <w:sz w:val="32"/>
          <w:szCs w:val="32"/>
        </w:rPr>
        <w:t>当HACCP认证与其他相关认证结合审核时，认证机构宜考虑下列因素，根据企业的具体情况对结合审核的时间进行调整：</w:t>
      </w:r>
    </w:p>
    <w:p w14:paraId="27CA7F8F">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a</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HACCP</w:t>
      </w:r>
      <w:r>
        <w:rPr>
          <w:rFonts w:hint="eastAsia" w:ascii="Times New Roman" w:hAnsi="Times New Roman" w:eastAsia="仿宋_GB2312" w:cs="仿宋_GB2312"/>
          <w:sz w:val="32"/>
          <w:szCs w:val="32"/>
        </w:rPr>
        <w:t>体系与相关认证的整合程度；</w:t>
      </w:r>
    </w:p>
    <w:p w14:paraId="4D7FC82E">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b</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HACCP</w:t>
      </w:r>
      <w:r>
        <w:rPr>
          <w:rFonts w:hint="eastAsia" w:ascii="Times New Roman" w:hAnsi="Times New Roman" w:eastAsia="仿宋_GB2312" w:cs="仿宋_GB2312"/>
          <w:sz w:val="32"/>
          <w:szCs w:val="32"/>
        </w:rPr>
        <w:t>体系与其他相关认证整合后的复杂程度；</w:t>
      </w:r>
    </w:p>
    <w:p w14:paraId="7ED335C7">
      <w:pPr>
        <w:pStyle w:val="19"/>
        <w:adjustRightInd w:val="0"/>
        <w:snapToGrid w:val="0"/>
        <w:spacing w:line="594" w:lineRule="exact"/>
        <w:ind w:firstLine="628"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c</w:t>
      </w:r>
      <w:r>
        <w:rPr>
          <w:rFonts w:hint="eastAsia" w:ascii="Times New Roman" w:hAnsi="Times New Roman" w:eastAsia="仿宋_GB2312" w:cs="仿宋_GB2312"/>
          <w:sz w:val="32"/>
          <w:szCs w:val="32"/>
        </w:rPr>
        <w:t>）有能力实施多项认证的审核员资源情况。</w:t>
      </w:r>
    </w:p>
    <w:sectPr>
      <w:pgSz w:w="11906" w:h="16838"/>
      <w:pgMar w:top="1984" w:right="1474" w:bottom="1644" w:left="1474" w:header="851" w:footer="1191" w:gutter="0"/>
      <w:pgNumType w:fmt="decimal"/>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6585D">
    <w:pPr>
      <w:pStyle w:val="9"/>
      <w:keepNext w:val="0"/>
      <w:keepLines w:val="0"/>
      <w:pageBreakBefore w:val="0"/>
      <w:widowControl w:val="0"/>
      <w:kinsoku/>
      <w:wordWrap/>
      <w:overflowPunct/>
      <w:topLinePunct w:val="0"/>
      <w:autoSpaceDE/>
      <w:autoSpaceDN/>
      <w:bidi w:val="0"/>
      <w:adjustRightInd/>
      <w:snapToGrid w:val="0"/>
      <w:ind w:left="315" w:leftChars="150" w:right="315" w:rightChars="150"/>
      <w:jc w:val="righ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DA0E">
    <w:pPr>
      <w:pStyle w:val="9"/>
      <w:keepNext w:val="0"/>
      <w:keepLines w:val="0"/>
      <w:pageBreakBefore w:val="0"/>
      <w:widowControl w:val="0"/>
      <w:kinsoku/>
      <w:wordWrap/>
      <w:overflowPunct/>
      <w:topLinePunct w:val="0"/>
      <w:autoSpaceDE/>
      <w:autoSpaceDN/>
      <w:bidi w:val="0"/>
      <w:adjustRightInd/>
      <w:snapToGrid w:val="0"/>
      <w:ind w:left="315" w:leftChars="150" w:right="315" w:rightChars="150"/>
      <w:jc w:val="both"/>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singleLevel"/>
    <w:tmpl w:val="000000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TE5NDc1NGFhMGMxNWYzYjBlOGE3MjNhMGJkNGQifQ=="/>
  </w:docVars>
  <w:rsids>
    <w:rsidRoot w:val="00745A75"/>
    <w:rsid w:val="0000674E"/>
    <w:rsid w:val="000107AF"/>
    <w:rsid w:val="0001101B"/>
    <w:rsid w:val="000242FC"/>
    <w:rsid w:val="0003270F"/>
    <w:rsid w:val="00090B79"/>
    <w:rsid w:val="00091D59"/>
    <w:rsid w:val="000B2576"/>
    <w:rsid w:val="000B774E"/>
    <w:rsid w:val="000E3EA9"/>
    <w:rsid w:val="001018A1"/>
    <w:rsid w:val="00111F26"/>
    <w:rsid w:val="001124A9"/>
    <w:rsid w:val="001153C9"/>
    <w:rsid w:val="00123F50"/>
    <w:rsid w:val="0015304F"/>
    <w:rsid w:val="001545D8"/>
    <w:rsid w:val="001A0240"/>
    <w:rsid w:val="001B085B"/>
    <w:rsid w:val="001B238B"/>
    <w:rsid w:val="001C4A49"/>
    <w:rsid w:val="001F37D1"/>
    <w:rsid w:val="00204ACA"/>
    <w:rsid w:val="00215006"/>
    <w:rsid w:val="00215200"/>
    <w:rsid w:val="00217642"/>
    <w:rsid w:val="0024381D"/>
    <w:rsid w:val="002450B2"/>
    <w:rsid w:val="00246A7E"/>
    <w:rsid w:val="00251D75"/>
    <w:rsid w:val="002530BA"/>
    <w:rsid w:val="002560C8"/>
    <w:rsid w:val="00262DD6"/>
    <w:rsid w:val="00267BC0"/>
    <w:rsid w:val="00280C49"/>
    <w:rsid w:val="00295A60"/>
    <w:rsid w:val="002C6610"/>
    <w:rsid w:val="002D4270"/>
    <w:rsid w:val="002E34EB"/>
    <w:rsid w:val="002E39A9"/>
    <w:rsid w:val="002F7424"/>
    <w:rsid w:val="003270E1"/>
    <w:rsid w:val="00332E2B"/>
    <w:rsid w:val="00333654"/>
    <w:rsid w:val="00362600"/>
    <w:rsid w:val="00370866"/>
    <w:rsid w:val="00374C41"/>
    <w:rsid w:val="00392023"/>
    <w:rsid w:val="003A5ADF"/>
    <w:rsid w:val="003A79A2"/>
    <w:rsid w:val="003B2EAD"/>
    <w:rsid w:val="003B38F2"/>
    <w:rsid w:val="003B5975"/>
    <w:rsid w:val="003C403F"/>
    <w:rsid w:val="003D3AD4"/>
    <w:rsid w:val="003D4838"/>
    <w:rsid w:val="003D5328"/>
    <w:rsid w:val="003F7CC7"/>
    <w:rsid w:val="00407365"/>
    <w:rsid w:val="00416296"/>
    <w:rsid w:val="00425B75"/>
    <w:rsid w:val="00427881"/>
    <w:rsid w:val="004366B5"/>
    <w:rsid w:val="00437B12"/>
    <w:rsid w:val="004404F3"/>
    <w:rsid w:val="0044223B"/>
    <w:rsid w:val="004465AC"/>
    <w:rsid w:val="00464467"/>
    <w:rsid w:val="00476D5A"/>
    <w:rsid w:val="00481B05"/>
    <w:rsid w:val="004847FF"/>
    <w:rsid w:val="004867A4"/>
    <w:rsid w:val="004903E1"/>
    <w:rsid w:val="00490BBB"/>
    <w:rsid w:val="00491DB5"/>
    <w:rsid w:val="00493769"/>
    <w:rsid w:val="004962A2"/>
    <w:rsid w:val="004A7FB0"/>
    <w:rsid w:val="004B30FC"/>
    <w:rsid w:val="004B7C64"/>
    <w:rsid w:val="004D338D"/>
    <w:rsid w:val="004F4A81"/>
    <w:rsid w:val="00500F30"/>
    <w:rsid w:val="00501EA2"/>
    <w:rsid w:val="00510EB6"/>
    <w:rsid w:val="00514FE5"/>
    <w:rsid w:val="00521451"/>
    <w:rsid w:val="00522820"/>
    <w:rsid w:val="00533222"/>
    <w:rsid w:val="00540852"/>
    <w:rsid w:val="00542BED"/>
    <w:rsid w:val="00544B75"/>
    <w:rsid w:val="005527BD"/>
    <w:rsid w:val="0056300D"/>
    <w:rsid w:val="00564B34"/>
    <w:rsid w:val="005710B1"/>
    <w:rsid w:val="005A08BA"/>
    <w:rsid w:val="005C030F"/>
    <w:rsid w:val="005C17C0"/>
    <w:rsid w:val="005C6F5A"/>
    <w:rsid w:val="005C7B7E"/>
    <w:rsid w:val="005D4E86"/>
    <w:rsid w:val="005E5BB9"/>
    <w:rsid w:val="005F39A5"/>
    <w:rsid w:val="00605D90"/>
    <w:rsid w:val="00606836"/>
    <w:rsid w:val="00615460"/>
    <w:rsid w:val="006257CC"/>
    <w:rsid w:val="00627219"/>
    <w:rsid w:val="006445EE"/>
    <w:rsid w:val="0066350F"/>
    <w:rsid w:val="00667C1C"/>
    <w:rsid w:val="00675DD1"/>
    <w:rsid w:val="00677FA8"/>
    <w:rsid w:val="006921B8"/>
    <w:rsid w:val="006D4B7F"/>
    <w:rsid w:val="00704860"/>
    <w:rsid w:val="00704FEB"/>
    <w:rsid w:val="007168D7"/>
    <w:rsid w:val="00733FC8"/>
    <w:rsid w:val="00745A75"/>
    <w:rsid w:val="00747E57"/>
    <w:rsid w:val="00756182"/>
    <w:rsid w:val="00756819"/>
    <w:rsid w:val="0077052C"/>
    <w:rsid w:val="00773DAE"/>
    <w:rsid w:val="00773DB7"/>
    <w:rsid w:val="007846D6"/>
    <w:rsid w:val="00786570"/>
    <w:rsid w:val="0079277E"/>
    <w:rsid w:val="00795DA5"/>
    <w:rsid w:val="007972EB"/>
    <w:rsid w:val="007E031F"/>
    <w:rsid w:val="007E5D98"/>
    <w:rsid w:val="00834874"/>
    <w:rsid w:val="0084341B"/>
    <w:rsid w:val="008531C2"/>
    <w:rsid w:val="0086380E"/>
    <w:rsid w:val="00881C3E"/>
    <w:rsid w:val="008834AE"/>
    <w:rsid w:val="00892AB5"/>
    <w:rsid w:val="008A63CF"/>
    <w:rsid w:val="008A6A9C"/>
    <w:rsid w:val="008C7F69"/>
    <w:rsid w:val="008D6DB2"/>
    <w:rsid w:val="008F0F16"/>
    <w:rsid w:val="008F3C09"/>
    <w:rsid w:val="008F4D0C"/>
    <w:rsid w:val="0090290E"/>
    <w:rsid w:val="009029C3"/>
    <w:rsid w:val="00915E27"/>
    <w:rsid w:val="00923ECD"/>
    <w:rsid w:val="009267ED"/>
    <w:rsid w:val="00955FEE"/>
    <w:rsid w:val="0095703F"/>
    <w:rsid w:val="00970349"/>
    <w:rsid w:val="0097574D"/>
    <w:rsid w:val="009772B5"/>
    <w:rsid w:val="00977DA2"/>
    <w:rsid w:val="00995EA9"/>
    <w:rsid w:val="0099798C"/>
    <w:rsid w:val="009E4771"/>
    <w:rsid w:val="009E5C44"/>
    <w:rsid w:val="009F72F6"/>
    <w:rsid w:val="009F7F30"/>
    <w:rsid w:val="00A015C3"/>
    <w:rsid w:val="00A06522"/>
    <w:rsid w:val="00A2125C"/>
    <w:rsid w:val="00A60189"/>
    <w:rsid w:val="00A6566F"/>
    <w:rsid w:val="00A66043"/>
    <w:rsid w:val="00A66484"/>
    <w:rsid w:val="00A744D5"/>
    <w:rsid w:val="00A8156A"/>
    <w:rsid w:val="00A81F8F"/>
    <w:rsid w:val="00A85F4D"/>
    <w:rsid w:val="00AB5AA4"/>
    <w:rsid w:val="00AD10EF"/>
    <w:rsid w:val="00AF38BB"/>
    <w:rsid w:val="00AF490E"/>
    <w:rsid w:val="00B251AF"/>
    <w:rsid w:val="00B2786E"/>
    <w:rsid w:val="00B44D60"/>
    <w:rsid w:val="00B51053"/>
    <w:rsid w:val="00B7399E"/>
    <w:rsid w:val="00B80A58"/>
    <w:rsid w:val="00B924F7"/>
    <w:rsid w:val="00B92D5D"/>
    <w:rsid w:val="00B979FD"/>
    <w:rsid w:val="00BA3485"/>
    <w:rsid w:val="00BB0C6E"/>
    <w:rsid w:val="00BB379C"/>
    <w:rsid w:val="00BB77D5"/>
    <w:rsid w:val="00BC7844"/>
    <w:rsid w:val="00BF34F5"/>
    <w:rsid w:val="00C07E03"/>
    <w:rsid w:val="00C249B4"/>
    <w:rsid w:val="00C479F8"/>
    <w:rsid w:val="00C54219"/>
    <w:rsid w:val="00C6338B"/>
    <w:rsid w:val="00C639E3"/>
    <w:rsid w:val="00C657DD"/>
    <w:rsid w:val="00C74E6B"/>
    <w:rsid w:val="00C8560A"/>
    <w:rsid w:val="00C9083B"/>
    <w:rsid w:val="00CA0020"/>
    <w:rsid w:val="00CB2F22"/>
    <w:rsid w:val="00CB5583"/>
    <w:rsid w:val="00CC05BD"/>
    <w:rsid w:val="00CC1514"/>
    <w:rsid w:val="00CD3966"/>
    <w:rsid w:val="00CE6391"/>
    <w:rsid w:val="00D056C8"/>
    <w:rsid w:val="00D10B1A"/>
    <w:rsid w:val="00D42DD7"/>
    <w:rsid w:val="00D7666D"/>
    <w:rsid w:val="00D8331D"/>
    <w:rsid w:val="00D83719"/>
    <w:rsid w:val="00D83E52"/>
    <w:rsid w:val="00D95859"/>
    <w:rsid w:val="00DC65C8"/>
    <w:rsid w:val="00DC743F"/>
    <w:rsid w:val="00DD2F12"/>
    <w:rsid w:val="00DE1C76"/>
    <w:rsid w:val="00DF1B83"/>
    <w:rsid w:val="00DF211F"/>
    <w:rsid w:val="00DF468E"/>
    <w:rsid w:val="00E04BA2"/>
    <w:rsid w:val="00E04BCE"/>
    <w:rsid w:val="00E132CB"/>
    <w:rsid w:val="00E156D5"/>
    <w:rsid w:val="00E17BD3"/>
    <w:rsid w:val="00E26283"/>
    <w:rsid w:val="00E30785"/>
    <w:rsid w:val="00E33D24"/>
    <w:rsid w:val="00E36695"/>
    <w:rsid w:val="00E37A29"/>
    <w:rsid w:val="00E47307"/>
    <w:rsid w:val="00E607AE"/>
    <w:rsid w:val="00E749B0"/>
    <w:rsid w:val="00E865EF"/>
    <w:rsid w:val="00E94D61"/>
    <w:rsid w:val="00E97608"/>
    <w:rsid w:val="00EC0A4D"/>
    <w:rsid w:val="00ED6610"/>
    <w:rsid w:val="00EE43EE"/>
    <w:rsid w:val="00EE6702"/>
    <w:rsid w:val="00EF5C3C"/>
    <w:rsid w:val="00F12ACB"/>
    <w:rsid w:val="00F33048"/>
    <w:rsid w:val="00F358FC"/>
    <w:rsid w:val="00F40A84"/>
    <w:rsid w:val="00F4790D"/>
    <w:rsid w:val="00F611D2"/>
    <w:rsid w:val="00F621BF"/>
    <w:rsid w:val="00F63FC1"/>
    <w:rsid w:val="00F7111B"/>
    <w:rsid w:val="00F71B9B"/>
    <w:rsid w:val="00F84F2B"/>
    <w:rsid w:val="00F929FB"/>
    <w:rsid w:val="00FA0FDA"/>
    <w:rsid w:val="00FA3715"/>
    <w:rsid w:val="00FA5B22"/>
    <w:rsid w:val="00FA6983"/>
    <w:rsid w:val="00FB3F14"/>
    <w:rsid w:val="00FB647F"/>
    <w:rsid w:val="00FC3783"/>
    <w:rsid w:val="00FD2CB0"/>
    <w:rsid w:val="00FD4DDF"/>
    <w:rsid w:val="03B57348"/>
    <w:rsid w:val="04097CFD"/>
    <w:rsid w:val="06A650B2"/>
    <w:rsid w:val="06EB023A"/>
    <w:rsid w:val="07FC3D04"/>
    <w:rsid w:val="0A920672"/>
    <w:rsid w:val="0ABB4A89"/>
    <w:rsid w:val="0DF00747"/>
    <w:rsid w:val="0EA120E4"/>
    <w:rsid w:val="0F9A4D92"/>
    <w:rsid w:val="10D85B4C"/>
    <w:rsid w:val="123A5316"/>
    <w:rsid w:val="13F20397"/>
    <w:rsid w:val="15E31FC5"/>
    <w:rsid w:val="1694571B"/>
    <w:rsid w:val="17004142"/>
    <w:rsid w:val="1AF24192"/>
    <w:rsid w:val="1E641AED"/>
    <w:rsid w:val="1E65149F"/>
    <w:rsid w:val="1E7D15D2"/>
    <w:rsid w:val="21FA518A"/>
    <w:rsid w:val="22ED6E71"/>
    <w:rsid w:val="23250F16"/>
    <w:rsid w:val="232D3644"/>
    <w:rsid w:val="256B6F7D"/>
    <w:rsid w:val="26681416"/>
    <w:rsid w:val="26ED5064"/>
    <w:rsid w:val="2865547A"/>
    <w:rsid w:val="29493635"/>
    <w:rsid w:val="2C197E89"/>
    <w:rsid w:val="2D6C667C"/>
    <w:rsid w:val="2F7A6F33"/>
    <w:rsid w:val="319021F3"/>
    <w:rsid w:val="324E4A86"/>
    <w:rsid w:val="329F4380"/>
    <w:rsid w:val="341B68AC"/>
    <w:rsid w:val="35BB03C8"/>
    <w:rsid w:val="36E868F0"/>
    <w:rsid w:val="377C4782"/>
    <w:rsid w:val="38C0174E"/>
    <w:rsid w:val="39EC5CDB"/>
    <w:rsid w:val="3CCB5DF2"/>
    <w:rsid w:val="3E9E0022"/>
    <w:rsid w:val="41C65938"/>
    <w:rsid w:val="43E3690B"/>
    <w:rsid w:val="47F539D7"/>
    <w:rsid w:val="48685B6D"/>
    <w:rsid w:val="4926370E"/>
    <w:rsid w:val="5060394C"/>
    <w:rsid w:val="50FA67A2"/>
    <w:rsid w:val="511320F3"/>
    <w:rsid w:val="52A56B91"/>
    <w:rsid w:val="52B21589"/>
    <w:rsid w:val="55FF5B4F"/>
    <w:rsid w:val="56AD79E3"/>
    <w:rsid w:val="58C431EC"/>
    <w:rsid w:val="59BA0F5E"/>
    <w:rsid w:val="5B613BF7"/>
    <w:rsid w:val="5CC36E89"/>
    <w:rsid w:val="5F061BF3"/>
    <w:rsid w:val="5F2A2148"/>
    <w:rsid w:val="5F940679"/>
    <w:rsid w:val="5F9D76CE"/>
    <w:rsid w:val="61D05B58"/>
    <w:rsid w:val="6599017E"/>
    <w:rsid w:val="65F66C33"/>
    <w:rsid w:val="67F03E20"/>
    <w:rsid w:val="68C0345A"/>
    <w:rsid w:val="68FC4CF4"/>
    <w:rsid w:val="6C321561"/>
    <w:rsid w:val="6ED4244E"/>
    <w:rsid w:val="6F977F2C"/>
    <w:rsid w:val="6FB92BF7"/>
    <w:rsid w:val="757D0E9D"/>
    <w:rsid w:val="7650527D"/>
    <w:rsid w:val="76BC26F7"/>
    <w:rsid w:val="796F6201"/>
    <w:rsid w:val="79AA32F0"/>
    <w:rsid w:val="7ACE3FFF"/>
    <w:rsid w:val="7C870038"/>
    <w:rsid w:val="7E387306"/>
    <w:rsid w:val="7E5C65E8"/>
    <w:rsid w:val="7FB4CD1C"/>
    <w:rsid w:val="9CFDD35A"/>
    <w:rsid w:val="9FDFB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after="100"/>
      <w:jc w:val="left"/>
      <w:outlineLvl w:val="1"/>
    </w:pPr>
    <w:rPr>
      <w:rFonts w:ascii="宋体" w:hAnsi="宋体" w:eastAsia="黑体"/>
      <w:kern w:val="0"/>
      <w:sz w:val="28"/>
      <w:szCs w:val="20"/>
    </w:rPr>
  </w:style>
  <w:style w:type="paragraph" w:styleId="4">
    <w:name w:val="heading 3"/>
    <w:basedOn w:val="1"/>
    <w:next w:val="1"/>
    <w:qFormat/>
    <w:uiPriority w:val="0"/>
    <w:pPr>
      <w:keepNext/>
      <w:spacing w:beforeLines="50" w:line="360" w:lineRule="auto"/>
      <w:ind w:firstLine="560" w:firstLineChars="200"/>
      <w:outlineLvl w:val="2"/>
    </w:pPr>
    <w:rPr>
      <w:sz w:val="28"/>
      <w:szCs w:val="20"/>
    </w:rPr>
  </w:style>
  <w:style w:type="paragraph" w:styleId="5">
    <w:name w:val="heading 4"/>
    <w:basedOn w:val="1"/>
    <w:next w:val="1"/>
    <w:unhideWhenUsed/>
    <w:qFormat/>
    <w:uiPriority w:val="9"/>
    <w:pPr>
      <w:keepNext/>
      <w:keepLines/>
      <w:spacing w:line="300" w:lineRule="auto"/>
      <w:outlineLvl w:val="3"/>
    </w:pPr>
    <w:rPr>
      <w:rFonts w:asciiTheme="majorHAnsi" w:hAnsiTheme="majorHAnsi" w:eastAsiaTheme="majorEastAsia" w:cstheme="majorBidi"/>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26"/>
    <w:qFormat/>
    <w:uiPriority w:val="0"/>
    <w:pPr>
      <w:jc w:val="left"/>
    </w:pPr>
  </w:style>
  <w:style w:type="paragraph" w:styleId="8">
    <w:name w:val="Balloon Text"/>
    <w:basedOn w:val="1"/>
    <w:link w:val="25"/>
    <w:semiHidden/>
    <w:unhideWhenUsed/>
    <w:qFormat/>
    <w:uiPriority w:val="99"/>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beforeLines="50" w:line="360" w:lineRule="auto"/>
      <w:ind w:firstLine="560" w:firstLineChars="200"/>
    </w:pPr>
    <w:rPr>
      <w:rFonts w:ascii="仿宋_GB2312" w:eastAsia="仿宋_GB2312"/>
      <w:sz w:val="28"/>
      <w:szCs w:val="20"/>
    </w:rPr>
  </w:style>
  <w:style w:type="paragraph" w:styleId="12">
    <w:name w:val="annotation subject"/>
    <w:basedOn w:val="7"/>
    <w:next w:val="7"/>
    <w:link w:val="27"/>
    <w:semiHidden/>
    <w:unhideWhenUsed/>
    <w:qFormat/>
    <w:uiPriority w:val="99"/>
    <w:rPr>
      <w:b/>
      <w:bCs/>
    </w:rPr>
  </w:style>
  <w:style w:type="table" w:styleId="14">
    <w:name w:val="Table Grid"/>
    <w:basedOn w:val="13"/>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qFormat/>
    <w:uiPriority w:val="0"/>
  </w:style>
  <w:style w:type="character" w:styleId="17">
    <w:name w:val="annotation reference"/>
    <w:semiHidden/>
    <w:unhideWhenUsed/>
    <w:qFormat/>
    <w:uiPriority w:val="99"/>
    <w:rPr>
      <w:sz w:val="21"/>
      <w:szCs w:val="21"/>
    </w:rPr>
  </w:style>
  <w:style w:type="paragraph" w:customStyle="1" w:styleId="18">
    <w:name w:val="批注框文本 Char Char"/>
    <w:basedOn w:val="1"/>
    <w:link w:val="24"/>
    <w:qFormat/>
    <w:uiPriority w:val="0"/>
    <w:rPr>
      <w:sz w:val="18"/>
      <w:szCs w:val="18"/>
    </w:rPr>
  </w:style>
  <w:style w:type="paragraph" w:customStyle="1" w:styleId="19">
    <w:name w:val="纯文本1"/>
    <w:basedOn w:val="1"/>
    <w:link w:val="21"/>
    <w:qFormat/>
    <w:uiPriority w:val="0"/>
    <w:rPr>
      <w:rFonts w:ascii="宋体" w:hAnsi="Courier New"/>
      <w:szCs w:val="20"/>
    </w:rPr>
  </w:style>
  <w:style w:type="paragraph" w:customStyle="1" w:styleId="20">
    <w:name w:val="列出段落1"/>
    <w:basedOn w:val="1"/>
    <w:qFormat/>
    <w:uiPriority w:val="0"/>
    <w:pPr>
      <w:ind w:firstLine="420" w:firstLineChars="200"/>
    </w:pPr>
  </w:style>
  <w:style w:type="character" w:customStyle="1" w:styleId="21">
    <w:name w:val="纯文本 字符"/>
    <w:link w:val="19"/>
    <w:semiHidden/>
    <w:qFormat/>
    <w:uiPriority w:val="0"/>
    <w:rPr>
      <w:rFonts w:ascii="宋体" w:hAnsi="Courier New" w:eastAsia="宋体" w:cs="Times New Roman"/>
      <w:szCs w:val="20"/>
    </w:rPr>
  </w:style>
  <w:style w:type="character" w:customStyle="1" w:styleId="22">
    <w:name w:val="页眉 字符"/>
    <w:link w:val="10"/>
    <w:semiHidden/>
    <w:qFormat/>
    <w:uiPriority w:val="0"/>
    <w:rPr>
      <w:rFonts w:ascii="Times New Roman" w:hAnsi="Times New Roman" w:eastAsia="宋体" w:cs="Times New Roman"/>
      <w:sz w:val="18"/>
      <w:szCs w:val="18"/>
    </w:rPr>
  </w:style>
  <w:style w:type="character" w:customStyle="1" w:styleId="23">
    <w:name w:val="页脚 字符"/>
    <w:link w:val="9"/>
    <w:semiHidden/>
    <w:qFormat/>
    <w:uiPriority w:val="0"/>
    <w:rPr>
      <w:rFonts w:ascii="Times New Roman" w:hAnsi="Times New Roman" w:eastAsia="宋体" w:cs="Times New Roman"/>
      <w:sz w:val="18"/>
      <w:szCs w:val="18"/>
    </w:rPr>
  </w:style>
  <w:style w:type="character" w:customStyle="1" w:styleId="24">
    <w:name w:val="批注框文本 字符"/>
    <w:link w:val="18"/>
    <w:semiHidden/>
    <w:qFormat/>
    <w:uiPriority w:val="0"/>
    <w:rPr>
      <w:rFonts w:ascii="Times New Roman" w:hAnsi="Times New Roman" w:eastAsia="宋体" w:cs="Times New Roman"/>
      <w:sz w:val="18"/>
      <w:szCs w:val="18"/>
    </w:rPr>
  </w:style>
  <w:style w:type="character" w:customStyle="1" w:styleId="25">
    <w:name w:val="批注框文本 字符1"/>
    <w:link w:val="8"/>
    <w:semiHidden/>
    <w:qFormat/>
    <w:uiPriority w:val="99"/>
    <w:rPr>
      <w:kern w:val="2"/>
      <w:sz w:val="18"/>
      <w:szCs w:val="18"/>
    </w:rPr>
  </w:style>
  <w:style w:type="character" w:customStyle="1" w:styleId="26">
    <w:name w:val="批注文字 字符"/>
    <w:basedOn w:val="15"/>
    <w:link w:val="7"/>
    <w:qFormat/>
    <w:uiPriority w:val="0"/>
    <w:rPr>
      <w:kern w:val="2"/>
      <w:sz w:val="21"/>
      <w:szCs w:val="24"/>
    </w:rPr>
  </w:style>
  <w:style w:type="character" w:customStyle="1" w:styleId="27">
    <w:name w:val="批注主题 字符"/>
    <w:basedOn w:val="26"/>
    <w:link w:val="12"/>
    <w:semiHidden/>
    <w:qFormat/>
    <w:uiPriority w:val="99"/>
    <w:rPr>
      <w:b/>
      <w:bCs/>
      <w:kern w:val="2"/>
      <w:sz w:val="21"/>
      <w:szCs w:val="24"/>
    </w:rPr>
  </w:style>
  <w:style w:type="paragraph" w:styleId="2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9">
    <w:name w:val="high-light-bg4"/>
    <w:basedOn w:val="15"/>
    <w:qFormat/>
    <w:uiPriority w:val="0"/>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标准正文"/>
    <w:basedOn w:val="1"/>
    <w:qFormat/>
    <w:uiPriority w:val="0"/>
    <w:pPr>
      <w:ind w:firstLine="200" w:firstLineChars="200"/>
    </w:pPr>
  </w:style>
  <w:style w:type="paragraph" w:customStyle="1" w:styleId="32">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26544</Words>
  <Characters>28190</Characters>
  <Lines>221</Lines>
  <Paragraphs>62</Paragraphs>
  <TotalTime>81</TotalTime>
  <ScaleCrop>false</ScaleCrop>
  <LinksUpToDate>false</LinksUpToDate>
  <CharactersWithSpaces>28448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2021-06-02T23:42:00Z</dcterms:created>
  <dc:creator>yml</dc:creator>
  <cp:lastModifiedBy>花开花落</cp:lastModifiedBy>
  <cp:lastPrinted>2021-07-30T07:19:00Z</cp:lastPrinted>
  <dcterms:modified xsi:type="dcterms:W3CDTF">2024-10-20T01:43:43Z</dcterms:modified>
  <dc:title>minglei yan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F2D8B8A4955E4C9199E9AE21A3864C07</vt:lpwstr>
  </property>
</Properties>
</file>